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5" w:type="dxa"/>
        <w:jc w:val="center"/>
        <w:tblBorders>
          <w:top w:val="nil"/>
          <w:bottom w:val="nil"/>
          <w:insideH w:val="nil"/>
          <w:insideV w:val="nil"/>
        </w:tblBorders>
        <w:tblCellMar>
          <w:left w:w="0" w:type="dxa"/>
          <w:right w:w="0" w:type="dxa"/>
        </w:tblCellMar>
        <w:tblLook w:val="04A0"/>
      </w:tblPr>
      <w:tblGrid>
        <w:gridCol w:w="4212"/>
        <w:gridCol w:w="5763"/>
      </w:tblGrid>
      <w:tr w:rsidR="00000000" w:rsidRPr="001937C4">
        <w:trPr>
          <w:jc w:val="center"/>
        </w:trPr>
        <w:tc>
          <w:tcPr>
            <w:tcW w:w="4212" w:type="dxa"/>
            <w:tcBorders>
              <w:top w:val="single" w:sz="4" w:space="0" w:color="ECE9D8"/>
              <w:left w:val="single" w:sz="4" w:space="0" w:color="ECE9D8"/>
              <w:bottom w:val="single" w:sz="4" w:space="0" w:color="ECE9D8"/>
              <w:right w:val="single" w:sz="4" w:space="0" w:color="ECE9D8"/>
              <w:tl2br w:val="nil"/>
              <w:tr2bl w:val="nil"/>
            </w:tcBorders>
            <w:shd w:val="clear" w:color="auto" w:fill="auto"/>
            <w:tcMar>
              <w:top w:w="0" w:type="dxa"/>
              <w:left w:w="108" w:type="dxa"/>
              <w:bottom w:w="0" w:type="dxa"/>
              <w:right w:w="108" w:type="dxa"/>
            </w:tcMar>
          </w:tcPr>
          <w:p w:rsidR="00000000" w:rsidRPr="001937C4" w:rsidRDefault="002960CD">
            <w:pPr>
              <w:jc w:val="center"/>
              <w:rPr>
                <w:sz w:val="26"/>
                <w:szCs w:val="26"/>
              </w:rPr>
            </w:pPr>
            <w:r w:rsidRPr="001937C4">
              <w:rPr>
                <w:b/>
                <w:bCs/>
                <w:sz w:val="26"/>
                <w:szCs w:val="26"/>
              </w:rPr>
              <w:t>BỘ NỘI VỤ</w:t>
            </w:r>
            <w:r w:rsidRPr="001937C4">
              <w:rPr>
                <w:b/>
                <w:bCs/>
                <w:sz w:val="26"/>
                <w:szCs w:val="26"/>
              </w:rPr>
              <w:br/>
              <w:t>*****</w:t>
            </w:r>
            <w:r w:rsidRPr="001937C4">
              <w:rPr>
                <w:b/>
                <w:bCs/>
                <w:sz w:val="26"/>
                <w:szCs w:val="26"/>
              </w:rPr>
              <w:br/>
            </w:r>
          </w:p>
        </w:tc>
        <w:tc>
          <w:tcPr>
            <w:tcW w:w="5763" w:type="dxa"/>
            <w:tcBorders>
              <w:top w:val="single" w:sz="4" w:space="0" w:color="ECE9D8"/>
              <w:left w:val="single" w:sz="4" w:space="0" w:color="ECE9D8"/>
              <w:bottom w:val="single" w:sz="4" w:space="0" w:color="ECE9D8"/>
              <w:right w:val="single" w:sz="4" w:space="0" w:color="ECE9D8"/>
              <w:tl2br w:val="nil"/>
              <w:tr2bl w:val="nil"/>
            </w:tcBorders>
            <w:shd w:val="clear" w:color="auto" w:fill="auto"/>
            <w:tcMar>
              <w:top w:w="0" w:type="dxa"/>
              <w:left w:w="108" w:type="dxa"/>
              <w:bottom w:w="0" w:type="dxa"/>
              <w:right w:w="108" w:type="dxa"/>
            </w:tcMar>
          </w:tcPr>
          <w:p w:rsidR="00000000" w:rsidRPr="001937C4" w:rsidRDefault="002960CD">
            <w:pPr>
              <w:jc w:val="center"/>
              <w:rPr>
                <w:sz w:val="26"/>
                <w:szCs w:val="26"/>
              </w:rPr>
            </w:pPr>
            <w:r w:rsidRPr="001937C4">
              <w:rPr>
                <w:b/>
                <w:bCs/>
                <w:sz w:val="26"/>
                <w:szCs w:val="26"/>
              </w:rPr>
              <w:t>CỘNG HÒA XÃ HỘI CHỦ NGHĨA VIỆT NAM</w:t>
            </w:r>
            <w:r w:rsidRPr="001937C4">
              <w:rPr>
                <w:b/>
                <w:bCs/>
                <w:sz w:val="26"/>
                <w:szCs w:val="26"/>
              </w:rPr>
              <w:br/>
              <w:t>Độc lập - Tự do - Hạnh phúc</w:t>
            </w:r>
            <w:r w:rsidRPr="001937C4">
              <w:rPr>
                <w:b/>
                <w:bCs/>
                <w:sz w:val="26"/>
                <w:szCs w:val="26"/>
              </w:rPr>
              <w:br/>
              <w:t>*******</w:t>
            </w:r>
          </w:p>
        </w:tc>
      </w:tr>
      <w:tr w:rsidR="00000000" w:rsidRPr="001937C4">
        <w:tblPrEx>
          <w:tblBorders>
            <w:top w:val="none" w:sz="0" w:space="0" w:color="auto"/>
            <w:bottom w:val="none" w:sz="0" w:space="0" w:color="auto"/>
            <w:insideH w:val="none" w:sz="0" w:space="0" w:color="auto"/>
            <w:insideV w:val="none" w:sz="0" w:space="0" w:color="auto"/>
          </w:tblBorders>
        </w:tblPrEx>
        <w:trPr>
          <w:jc w:val="center"/>
        </w:trPr>
        <w:tc>
          <w:tcPr>
            <w:tcW w:w="4212" w:type="dxa"/>
            <w:tcBorders>
              <w:top w:val="none" w:sz="0" w:space="0" w:color="ECE9D8"/>
              <w:left w:val="none" w:sz="0" w:space="0" w:color="ECE9D8"/>
              <w:bottom w:val="none" w:sz="0" w:space="0" w:color="ECE9D8"/>
              <w:right w:val="none" w:sz="0" w:space="0" w:color="ECE9D8"/>
              <w:tl2br w:val="nil"/>
              <w:tr2bl w:val="nil"/>
            </w:tcBorders>
            <w:shd w:val="clear" w:color="auto" w:fill="auto"/>
            <w:tcMar>
              <w:top w:w="0" w:type="dxa"/>
              <w:left w:w="108" w:type="dxa"/>
              <w:bottom w:w="0" w:type="dxa"/>
              <w:right w:w="108" w:type="dxa"/>
            </w:tcMar>
          </w:tcPr>
          <w:p w:rsidR="00000000" w:rsidRPr="001937C4" w:rsidRDefault="002960CD">
            <w:pPr>
              <w:jc w:val="center"/>
              <w:rPr>
                <w:sz w:val="26"/>
                <w:szCs w:val="26"/>
              </w:rPr>
            </w:pPr>
            <w:r w:rsidRPr="001937C4">
              <w:rPr>
                <w:sz w:val="26"/>
                <w:szCs w:val="26"/>
              </w:rPr>
              <w:t>Số: 23/2004/QĐ-BNV</w:t>
            </w:r>
          </w:p>
        </w:tc>
        <w:tc>
          <w:tcPr>
            <w:tcW w:w="5763" w:type="dxa"/>
            <w:tcBorders>
              <w:top w:val="none" w:sz="0" w:space="0" w:color="ECE9D8"/>
              <w:left w:val="none" w:sz="0" w:space="0" w:color="ECE9D8"/>
              <w:bottom w:val="none" w:sz="0" w:space="0" w:color="ECE9D8"/>
              <w:right w:val="none" w:sz="0" w:space="0" w:color="ECE9D8"/>
              <w:tl2br w:val="nil"/>
              <w:tr2bl w:val="nil"/>
            </w:tcBorders>
            <w:shd w:val="clear" w:color="auto" w:fill="auto"/>
            <w:tcMar>
              <w:top w:w="0" w:type="dxa"/>
              <w:left w:w="108" w:type="dxa"/>
              <w:bottom w:w="0" w:type="dxa"/>
              <w:right w:w="108" w:type="dxa"/>
            </w:tcMar>
            <w:vAlign w:val="bottom"/>
          </w:tcPr>
          <w:p w:rsidR="00000000" w:rsidRPr="001937C4" w:rsidRDefault="002960CD">
            <w:pPr>
              <w:jc w:val="right"/>
              <w:rPr>
                <w:sz w:val="26"/>
                <w:szCs w:val="26"/>
              </w:rPr>
            </w:pPr>
            <w:r w:rsidRPr="001937C4">
              <w:rPr>
                <w:i/>
                <w:iCs/>
                <w:sz w:val="26"/>
                <w:szCs w:val="26"/>
              </w:rPr>
              <w:t xml:space="preserve">Hà Nội, ngày 07 tháng 4 năm 2004 </w:t>
            </w:r>
          </w:p>
        </w:tc>
      </w:tr>
    </w:tbl>
    <w:p w:rsidR="00000000" w:rsidRPr="001937C4" w:rsidRDefault="002960CD">
      <w:pPr>
        <w:spacing w:after="120"/>
        <w:rPr>
          <w:sz w:val="26"/>
          <w:szCs w:val="26"/>
        </w:rPr>
      </w:pPr>
      <w:r w:rsidRPr="001937C4">
        <w:rPr>
          <w:sz w:val="26"/>
          <w:szCs w:val="26"/>
        </w:rPr>
        <w:t> </w:t>
      </w:r>
    </w:p>
    <w:p w:rsidR="00000000" w:rsidRPr="001937C4" w:rsidRDefault="002960CD">
      <w:pPr>
        <w:spacing w:after="120"/>
        <w:jc w:val="center"/>
        <w:rPr>
          <w:sz w:val="26"/>
          <w:szCs w:val="26"/>
        </w:rPr>
      </w:pPr>
      <w:r w:rsidRPr="001937C4">
        <w:rPr>
          <w:b/>
          <w:bCs/>
          <w:sz w:val="26"/>
          <w:szCs w:val="26"/>
        </w:rPr>
        <w:t xml:space="preserve">QUYẾT ĐỊNH </w:t>
      </w:r>
    </w:p>
    <w:p w:rsidR="001937C4" w:rsidRPr="001937C4" w:rsidRDefault="001937C4">
      <w:pPr>
        <w:spacing w:after="120"/>
        <w:jc w:val="center"/>
        <w:rPr>
          <w:sz w:val="26"/>
          <w:szCs w:val="26"/>
        </w:rPr>
      </w:pPr>
      <w:r>
        <w:rPr>
          <w:sz w:val="26"/>
          <w:szCs w:val="26"/>
        </w:rPr>
        <w:t>Về việc ban hành tiêu chuẩn Giám đốc Sở Nội vụ</w:t>
      </w:r>
    </w:p>
    <w:p w:rsidR="00000000" w:rsidRPr="001937C4" w:rsidRDefault="002960CD">
      <w:pPr>
        <w:spacing w:after="120"/>
        <w:jc w:val="center"/>
        <w:rPr>
          <w:sz w:val="26"/>
          <w:szCs w:val="26"/>
        </w:rPr>
      </w:pPr>
      <w:r w:rsidRPr="001937C4">
        <w:rPr>
          <w:b/>
          <w:bCs/>
          <w:sz w:val="26"/>
          <w:szCs w:val="26"/>
        </w:rPr>
        <w:t>BỘ TRƯỞNG BỘ NỘI VỤ</w:t>
      </w:r>
    </w:p>
    <w:p w:rsidR="00000000" w:rsidRPr="001937C4" w:rsidRDefault="002960CD">
      <w:pPr>
        <w:spacing w:after="120"/>
        <w:rPr>
          <w:sz w:val="26"/>
          <w:szCs w:val="26"/>
        </w:rPr>
      </w:pPr>
      <w:r w:rsidRPr="001937C4">
        <w:rPr>
          <w:i/>
          <w:iCs/>
          <w:sz w:val="26"/>
          <w:szCs w:val="26"/>
        </w:rPr>
        <w:t>Căn cứ Nghị định số 86/2002/N</w:t>
      </w:r>
      <w:r w:rsidRPr="001937C4">
        <w:rPr>
          <w:i/>
          <w:iCs/>
          <w:sz w:val="26"/>
          <w:szCs w:val="26"/>
        </w:rPr>
        <w:t>Đ-CP ngày 05 tháng 11 năm 2002 của Chính phủ quy định chức năng, nhiệm vụ, quyền hạn và cơ cấu tổ chức của Bộ, cơ quan ngang Bộ;</w:t>
      </w:r>
      <w:r w:rsidRPr="001937C4">
        <w:rPr>
          <w:i/>
          <w:iCs/>
          <w:sz w:val="26"/>
          <w:szCs w:val="26"/>
        </w:rPr>
        <w:br/>
        <w:t xml:space="preserve">Căn cứ Nghị định số 45/2003/NĐ-CP ngày 09 tháng 05 năm 2003 của Chính phủ quy định chức năng, nhiệm vụ, quyền hạn và cơ cấu tổ </w:t>
      </w:r>
      <w:r w:rsidRPr="001937C4">
        <w:rPr>
          <w:i/>
          <w:iCs/>
          <w:sz w:val="26"/>
          <w:szCs w:val="26"/>
        </w:rPr>
        <w:t>chức của Bộ Nội vụ;</w:t>
      </w:r>
      <w:r w:rsidRPr="001937C4">
        <w:rPr>
          <w:i/>
          <w:iCs/>
          <w:sz w:val="26"/>
          <w:szCs w:val="26"/>
        </w:rPr>
        <w:br/>
        <w:t>Theo Thông tư số 05/2004/TT-BNV ngày 19 tháng 01 năm 2004 của Bộ Nội vụ hướng dẫn chức năng, nhiệm vụ, quyền hạn và cơ cấu tổ chức cơ quan chuyên môn giúp Ủy ban nhân dân quản lý nhà nước về công tác nội vụ ở địa phương;</w:t>
      </w:r>
      <w:r w:rsidRPr="001937C4">
        <w:rPr>
          <w:i/>
          <w:iCs/>
          <w:sz w:val="26"/>
          <w:szCs w:val="26"/>
        </w:rPr>
        <w:br/>
        <w:t>Theo đề nghị củ</w:t>
      </w:r>
      <w:r w:rsidRPr="001937C4">
        <w:rPr>
          <w:i/>
          <w:iCs/>
          <w:sz w:val="26"/>
          <w:szCs w:val="26"/>
        </w:rPr>
        <w:t>a Vụ trưởng Vụ tổ chức cán bộ</w:t>
      </w:r>
      <w:r w:rsidRPr="001937C4">
        <w:rPr>
          <w:sz w:val="26"/>
          <w:szCs w:val="26"/>
        </w:rPr>
        <w:t>,</w:t>
      </w:r>
    </w:p>
    <w:p w:rsidR="00000000" w:rsidRPr="001937C4" w:rsidRDefault="002960CD">
      <w:pPr>
        <w:spacing w:after="120"/>
        <w:jc w:val="center"/>
        <w:rPr>
          <w:sz w:val="26"/>
          <w:szCs w:val="26"/>
        </w:rPr>
      </w:pPr>
      <w:r w:rsidRPr="001937C4">
        <w:rPr>
          <w:b/>
          <w:bCs/>
          <w:sz w:val="26"/>
          <w:szCs w:val="26"/>
        </w:rPr>
        <w:t xml:space="preserve">QUYẾT ĐỊNH: </w:t>
      </w:r>
    </w:p>
    <w:p w:rsidR="00000000" w:rsidRPr="001937C4" w:rsidRDefault="002960CD" w:rsidP="001937C4">
      <w:pPr>
        <w:spacing w:after="120"/>
        <w:jc w:val="both"/>
        <w:rPr>
          <w:sz w:val="26"/>
          <w:szCs w:val="26"/>
        </w:rPr>
      </w:pPr>
      <w:r w:rsidRPr="001937C4">
        <w:rPr>
          <w:b/>
          <w:bCs/>
          <w:sz w:val="26"/>
          <w:szCs w:val="26"/>
        </w:rPr>
        <w:t>Điều 1:</w:t>
      </w:r>
      <w:r w:rsidRPr="001937C4">
        <w:rPr>
          <w:sz w:val="26"/>
          <w:szCs w:val="26"/>
        </w:rPr>
        <w:t xml:space="preserve"> Ban hành kèm theo Quyết định này Tiêu chuẩn Giám đốc Sở Nội vụ các tỉnh, thành phố trực thuộc Trung ương làm cơ sở đề Ủy ban nhân dân tỉnh, thành phố trực thuộc Trung ương xem xét bổ nhiệm.</w:t>
      </w:r>
    </w:p>
    <w:p w:rsidR="00000000" w:rsidRPr="001937C4" w:rsidRDefault="002960CD" w:rsidP="001937C4">
      <w:pPr>
        <w:spacing w:after="120"/>
        <w:jc w:val="both"/>
        <w:rPr>
          <w:sz w:val="26"/>
          <w:szCs w:val="26"/>
        </w:rPr>
      </w:pPr>
      <w:r w:rsidRPr="001937C4">
        <w:rPr>
          <w:b/>
          <w:bCs/>
          <w:sz w:val="26"/>
          <w:szCs w:val="26"/>
        </w:rPr>
        <w:t>Điều 2:</w:t>
      </w:r>
      <w:r w:rsidRPr="001937C4">
        <w:rPr>
          <w:sz w:val="26"/>
          <w:szCs w:val="26"/>
        </w:rPr>
        <w:t xml:space="preserve"> Quyết </w:t>
      </w:r>
      <w:r w:rsidRPr="001937C4">
        <w:rPr>
          <w:sz w:val="26"/>
          <w:szCs w:val="26"/>
        </w:rPr>
        <w:t>định này có hiệu lực sau 15 ngày, kể từ ngày đăng Công báo.</w:t>
      </w:r>
    </w:p>
    <w:p w:rsidR="00000000" w:rsidRPr="001937C4" w:rsidRDefault="002960CD" w:rsidP="001937C4">
      <w:pPr>
        <w:spacing w:after="120"/>
        <w:jc w:val="both"/>
        <w:rPr>
          <w:sz w:val="26"/>
          <w:szCs w:val="26"/>
        </w:rPr>
      </w:pPr>
      <w:r w:rsidRPr="001937C4">
        <w:rPr>
          <w:b/>
          <w:bCs/>
          <w:sz w:val="26"/>
          <w:szCs w:val="26"/>
        </w:rPr>
        <w:t>Điều 3:</w:t>
      </w:r>
      <w:r w:rsidRPr="001937C4">
        <w:rPr>
          <w:sz w:val="26"/>
          <w:szCs w:val="26"/>
        </w:rPr>
        <w:t xml:space="preserve"> Chính Văn phòng Bộ, Vụ trưởng Vụ Tổ chức cán bộ, Thủ trưởng các tổ chức thuộc Bộ Nội vụ, Ủy ban nhân dân tỉnh, thành phố trực thuộc Trung ương, Giám đốc Sở Nội vụ các tỉnh, thành phố trực </w:t>
      </w:r>
      <w:r w:rsidRPr="001937C4">
        <w:rPr>
          <w:sz w:val="26"/>
          <w:szCs w:val="26"/>
        </w:rPr>
        <w:t>thuộc Trung ương và Thủ trưởng các cơ quan liên quan chịu trách nhiệm thi hành Quyết định này</w:t>
      </w:r>
      <w:proofErr w:type="gramStart"/>
      <w:r w:rsidRPr="001937C4">
        <w:rPr>
          <w:sz w:val="26"/>
          <w:szCs w:val="26"/>
        </w:rPr>
        <w:t>./</w:t>
      </w:r>
      <w:proofErr w:type="gramEnd"/>
      <w:r w:rsidRPr="001937C4">
        <w:rPr>
          <w:sz w:val="26"/>
          <w:szCs w:val="26"/>
        </w:rPr>
        <w:t>.</w:t>
      </w:r>
    </w:p>
    <w:p w:rsidR="00000000" w:rsidRPr="001937C4" w:rsidRDefault="002960CD">
      <w:pPr>
        <w:spacing w:after="120"/>
        <w:rPr>
          <w:sz w:val="26"/>
          <w:szCs w:val="26"/>
        </w:rPr>
      </w:pPr>
      <w:r w:rsidRPr="001937C4">
        <w:rPr>
          <w:sz w:val="26"/>
          <w:szCs w:val="26"/>
        </w:rPr>
        <w:t> </w:t>
      </w:r>
    </w:p>
    <w:tbl>
      <w:tblPr>
        <w:tblW w:w="0" w:type="auto"/>
        <w:tblBorders>
          <w:top w:val="nil"/>
          <w:bottom w:val="nil"/>
          <w:insideH w:val="nil"/>
          <w:insideV w:val="nil"/>
        </w:tblBorders>
        <w:tblCellMar>
          <w:left w:w="0" w:type="dxa"/>
          <w:right w:w="0" w:type="dxa"/>
        </w:tblCellMar>
        <w:tblLook w:val="04A0"/>
      </w:tblPr>
      <w:tblGrid>
        <w:gridCol w:w="5095"/>
        <w:gridCol w:w="5095"/>
      </w:tblGrid>
      <w:tr w:rsidR="00000000" w:rsidRPr="001937C4">
        <w:tc>
          <w:tcPr>
            <w:tcW w:w="5095" w:type="dxa"/>
            <w:tcBorders>
              <w:top w:val="none" w:sz="0" w:space="0" w:color="ECE9D8"/>
              <w:left w:val="none" w:sz="0" w:space="0" w:color="ECE9D8"/>
              <w:bottom w:val="none" w:sz="0" w:space="0" w:color="ECE9D8"/>
              <w:right w:val="none" w:sz="0" w:space="0" w:color="ECE9D8"/>
              <w:tl2br w:val="nil"/>
              <w:tr2bl w:val="nil"/>
            </w:tcBorders>
            <w:shd w:val="clear" w:color="auto" w:fill="auto"/>
            <w:tcMar>
              <w:top w:w="0" w:type="dxa"/>
              <w:left w:w="108" w:type="dxa"/>
              <w:bottom w:w="0" w:type="dxa"/>
              <w:right w:w="108" w:type="dxa"/>
            </w:tcMar>
          </w:tcPr>
          <w:p w:rsidR="00000000" w:rsidRPr="001937C4" w:rsidRDefault="002960CD">
            <w:pPr>
              <w:rPr>
                <w:sz w:val="26"/>
                <w:szCs w:val="26"/>
              </w:rPr>
            </w:pPr>
            <w:r w:rsidRPr="001937C4">
              <w:rPr>
                <w:sz w:val="26"/>
                <w:szCs w:val="26"/>
              </w:rPr>
              <w:t> </w:t>
            </w:r>
          </w:p>
        </w:tc>
        <w:tc>
          <w:tcPr>
            <w:tcW w:w="5095" w:type="dxa"/>
            <w:tcBorders>
              <w:top w:val="none" w:sz="0" w:space="0" w:color="ECE9D8"/>
              <w:left w:val="none" w:sz="0" w:space="0" w:color="ECE9D8"/>
              <w:bottom w:val="none" w:sz="0" w:space="0" w:color="ECE9D8"/>
              <w:right w:val="none" w:sz="0" w:space="0" w:color="ECE9D8"/>
              <w:tl2br w:val="nil"/>
              <w:tr2bl w:val="nil"/>
            </w:tcBorders>
            <w:shd w:val="clear" w:color="auto" w:fill="auto"/>
            <w:tcMar>
              <w:top w:w="0" w:type="dxa"/>
              <w:left w:w="108" w:type="dxa"/>
              <w:bottom w:w="0" w:type="dxa"/>
              <w:right w:w="108" w:type="dxa"/>
            </w:tcMar>
          </w:tcPr>
          <w:p w:rsidR="00000000" w:rsidRPr="001937C4" w:rsidRDefault="002960CD">
            <w:pPr>
              <w:jc w:val="center"/>
              <w:rPr>
                <w:sz w:val="26"/>
                <w:szCs w:val="26"/>
              </w:rPr>
            </w:pPr>
            <w:r w:rsidRPr="001937C4">
              <w:rPr>
                <w:b/>
                <w:bCs/>
                <w:sz w:val="26"/>
                <w:szCs w:val="26"/>
              </w:rPr>
              <w:t>BỘ TRƯỞNG BỘ NỘI VỤ</w:t>
            </w:r>
            <w:r w:rsidRPr="001937C4">
              <w:rPr>
                <w:b/>
                <w:bCs/>
                <w:sz w:val="26"/>
                <w:szCs w:val="26"/>
              </w:rPr>
              <w:br/>
            </w:r>
            <w:r w:rsidRPr="001937C4">
              <w:rPr>
                <w:b/>
                <w:bCs/>
                <w:sz w:val="26"/>
                <w:szCs w:val="26"/>
              </w:rPr>
              <w:br/>
            </w:r>
            <w:r w:rsidRPr="001937C4">
              <w:rPr>
                <w:b/>
                <w:bCs/>
                <w:sz w:val="26"/>
                <w:szCs w:val="26"/>
              </w:rPr>
              <w:br/>
            </w:r>
            <w:r w:rsidRPr="001937C4">
              <w:rPr>
                <w:b/>
                <w:bCs/>
                <w:sz w:val="26"/>
                <w:szCs w:val="26"/>
              </w:rPr>
              <w:br/>
            </w:r>
            <w:r w:rsidRPr="001937C4">
              <w:rPr>
                <w:b/>
                <w:bCs/>
                <w:sz w:val="26"/>
                <w:szCs w:val="26"/>
              </w:rPr>
              <w:br/>
              <w:t>Đỗ Quang Trung</w:t>
            </w:r>
          </w:p>
        </w:tc>
      </w:tr>
    </w:tbl>
    <w:p w:rsidR="00000000" w:rsidRPr="001937C4" w:rsidRDefault="002960CD">
      <w:pPr>
        <w:spacing w:after="120"/>
        <w:rPr>
          <w:sz w:val="26"/>
          <w:szCs w:val="26"/>
        </w:rPr>
      </w:pPr>
      <w:r w:rsidRPr="001937C4">
        <w:rPr>
          <w:sz w:val="26"/>
          <w:szCs w:val="26"/>
        </w:rPr>
        <w:t> </w:t>
      </w:r>
    </w:p>
    <w:p w:rsidR="001937C4" w:rsidRDefault="001937C4">
      <w:pPr>
        <w:spacing w:after="120"/>
        <w:jc w:val="center"/>
        <w:rPr>
          <w:b/>
          <w:bCs/>
          <w:sz w:val="26"/>
          <w:szCs w:val="26"/>
        </w:rPr>
      </w:pPr>
    </w:p>
    <w:p w:rsidR="001937C4" w:rsidRDefault="001937C4">
      <w:pPr>
        <w:spacing w:after="120"/>
        <w:jc w:val="center"/>
        <w:rPr>
          <w:b/>
          <w:bCs/>
          <w:sz w:val="26"/>
          <w:szCs w:val="26"/>
        </w:rPr>
      </w:pPr>
    </w:p>
    <w:p w:rsidR="001937C4" w:rsidRDefault="001937C4">
      <w:pPr>
        <w:spacing w:after="120"/>
        <w:jc w:val="center"/>
        <w:rPr>
          <w:b/>
          <w:bCs/>
          <w:sz w:val="26"/>
          <w:szCs w:val="26"/>
        </w:rPr>
      </w:pPr>
    </w:p>
    <w:p w:rsidR="001937C4" w:rsidRDefault="001937C4">
      <w:pPr>
        <w:spacing w:after="120"/>
        <w:jc w:val="center"/>
        <w:rPr>
          <w:b/>
          <w:bCs/>
          <w:sz w:val="26"/>
          <w:szCs w:val="26"/>
        </w:rPr>
      </w:pPr>
    </w:p>
    <w:p w:rsidR="001937C4" w:rsidRDefault="001937C4">
      <w:pPr>
        <w:spacing w:after="120"/>
        <w:jc w:val="center"/>
        <w:rPr>
          <w:b/>
          <w:bCs/>
          <w:sz w:val="26"/>
          <w:szCs w:val="26"/>
        </w:rPr>
      </w:pPr>
    </w:p>
    <w:p w:rsidR="001937C4" w:rsidRDefault="001937C4">
      <w:pPr>
        <w:spacing w:after="120"/>
        <w:jc w:val="center"/>
        <w:rPr>
          <w:b/>
          <w:bCs/>
          <w:sz w:val="26"/>
          <w:szCs w:val="26"/>
        </w:rPr>
      </w:pPr>
    </w:p>
    <w:p w:rsidR="00000000" w:rsidRPr="001937C4" w:rsidRDefault="002960CD">
      <w:pPr>
        <w:spacing w:after="120"/>
        <w:jc w:val="center"/>
        <w:rPr>
          <w:sz w:val="26"/>
          <w:szCs w:val="26"/>
        </w:rPr>
      </w:pPr>
      <w:r w:rsidRPr="001937C4">
        <w:rPr>
          <w:b/>
          <w:bCs/>
          <w:sz w:val="26"/>
          <w:szCs w:val="26"/>
        </w:rPr>
        <w:lastRenderedPageBreak/>
        <w:t>TIÊU CHUẨN</w:t>
      </w:r>
    </w:p>
    <w:p w:rsidR="00000000" w:rsidRPr="001937C4" w:rsidRDefault="002960CD">
      <w:pPr>
        <w:spacing w:after="120"/>
        <w:jc w:val="center"/>
        <w:rPr>
          <w:sz w:val="26"/>
          <w:szCs w:val="26"/>
        </w:rPr>
      </w:pPr>
      <w:r w:rsidRPr="001937C4">
        <w:rPr>
          <w:sz w:val="26"/>
          <w:szCs w:val="26"/>
        </w:rPr>
        <w:t xml:space="preserve">GIÁM ĐỐC SỞ NỘI </w:t>
      </w:r>
      <w:proofErr w:type="gramStart"/>
      <w:r w:rsidRPr="001937C4">
        <w:rPr>
          <w:sz w:val="26"/>
          <w:szCs w:val="26"/>
        </w:rPr>
        <w:t>VỤ</w:t>
      </w:r>
      <w:proofErr w:type="gramEnd"/>
      <w:r w:rsidRPr="001937C4">
        <w:rPr>
          <w:sz w:val="26"/>
          <w:szCs w:val="26"/>
        </w:rPr>
        <w:br/>
      </w:r>
      <w:r w:rsidRPr="001937C4">
        <w:rPr>
          <w:i/>
          <w:iCs/>
          <w:sz w:val="26"/>
          <w:szCs w:val="26"/>
        </w:rPr>
        <w:t>(ban hành kèm theo Quyết định số 23/2004/QĐ-BNV ngày 07/04/2004 của Bộ trưởng Bộ Nộ</w:t>
      </w:r>
      <w:r w:rsidRPr="001937C4">
        <w:rPr>
          <w:i/>
          <w:iCs/>
          <w:sz w:val="26"/>
          <w:szCs w:val="26"/>
        </w:rPr>
        <w:t>i vụ)</w:t>
      </w:r>
    </w:p>
    <w:p w:rsidR="00000000" w:rsidRPr="001937C4" w:rsidRDefault="002960CD" w:rsidP="001937C4">
      <w:pPr>
        <w:spacing w:after="120"/>
        <w:jc w:val="both"/>
        <w:rPr>
          <w:sz w:val="26"/>
          <w:szCs w:val="26"/>
        </w:rPr>
      </w:pPr>
      <w:r w:rsidRPr="001937C4">
        <w:rPr>
          <w:b/>
          <w:bCs/>
          <w:sz w:val="26"/>
          <w:szCs w:val="26"/>
        </w:rPr>
        <w:t>I. CHỨC TRÁCH:</w:t>
      </w:r>
    </w:p>
    <w:p w:rsidR="00000000" w:rsidRPr="001937C4" w:rsidRDefault="002960CD" w:rsidP="001937C4">
      <w:pPr>
        <w:spacing w:after="120"/>
        <w:jc w:val="both"/>
        <w:rPr>
          <w:sz w:val="26"/>
          <w:szCs w:val="26"/>
        </w:rPr>
      </w:pPr>
      <w:r w:rsidRPr="001937C4">
        <w:rPr>
          <w:sz w:val="26"/>
          <w:szCs w:val="26"/>
        </w:rPr>
        <w:t>Giám đốc Sở Nội vụ là cán bộ lãnh đạo, quản lý đứng đầu Sở Nội vụ thuộc Ủy ban nhân dân tỉnh, thành phố trực thuộc Trung ương (sau đây gọi chung là tỉnh).</w:t>
      </w:r>
    </w:p>
    <w:p w:rsidR="00000000" w:rsidRPr="001937C4" w:rsidRDefault="002960CD" w:rsidP="001937C4">
      <w:pPr>
        <w:spacing w:after="120"/>
        <w:jc w:val="both"/>
        <w:rPr>
          <w:sz w:val="26"/>
          <w:szCs w:val="26"/>
        </w:rPr>
      </w:pPr>
      <w:r w:rsidRPr="001937C4">
        <w:rPr>
          <w:sz w:val="26"/>
          <w:szCs w:val="26"/>
        </w:rPr>
        <w:t>Giám đốc Sở Nội vụ chịu trách nhiệm trước Ủy ban nhân dân tỉnh, đồng thời chịu t</w:t>
      </w:r>
      <w:r w:rsidRPr="001937C4">
        <w:rPr>
          <w:sz w:val="26"/>
          <w:szCs w:val="26"/>
        </w:rPr>
        <w:t>rách nhiệm trước Bộ Nội vụ thực hiện thống nhất quản lý nhà nước về nội vụ theo quy định của tỉnh.</w:t>
      </w:r>
    </w:p>
    <w:p w:rsidR="00000000" w:rsidRPr="001937C4" w:rsidRDefault="002960CD" w:rsidP="001937C4">
      <w:pPr>
        <w:spacing w:after="120"/>
        <w:jc w:val="both"/>
        <w:rPr>
          <w:sz w:val="26"/>
          <w:szCs w:val="26"/>
        </w:rPr>
      </w:pPr>
      <w:r w:rsidRPr="001937C4">
        <w:rPr>
          <w:b/>
          <w:bCs/>
          <w:sz w:val="26"/>
          <w:szCs w:val="26"/>
        </w:rPr>
        <w:t>II. TIÊU CHUẨN</w:t>
      </w:r>
    </w:p>
    <w:p w:rsidR="00000000" w:rsidRPr="001937C4" w:rsidRDefault="002960CD" w:rsidP="001937C4">
      <w:pPr>
        <w:spacing w:after="120"/>
        <w:jc w:val="both"/>
        <w:rPr>
          <w:sz w:val="26"/>
          <w:szCs w:val="26"/>
        </w:rPr>
      </w:pPr>
      <w:r w:rsidRPr="001937C4">
        <w:rPr>
          <w:b/>
          <w:bCs/>
          <w:sz w:val="26"/>
          <w:szCs w:val="26"/>
        </w:rPr>
        <w:t xml:space="preserve">1. Tiêu chuẩn </w:t>
      </w:r>
      <w:proofErr w:type="gramStart"/>
      <w:r w:rsidRPr="001937C4">
        <w:rPr>
          <w:b/>
          <w:bCs/>
          <w:sz w:val="26"/>
          <w:szCs w:val="26"/>
        </w:rPr>
        <w:t>chung</w:t>
      </w:r>
      <w:proofErr w:type="gramEnd"/>
      <w:r w:rsidRPr="001937C4">
        <w:rPr>
          <w:b/>
          <w:bCs/>
          <w:sz w:val="26"/>
          <w:szCs w:val="26"/>
        </w:rPr>
        <w:t xml:space="preserve"> và điều kiện để bổ nhiệm</w:t>
      </w:r>
    </w:p>
    <w:p w:rsidR="00000000" w:rsidRPr="001937C4" w:rsidRDefault="002960CD" w:rsidP="001937C4">
      <w:pPr>
        <w:spacing w:after="120"/>
        <w:jc w:val="both"/>
        <w:rPr>
          <w:sz w:val="26"/>
          <w:szCs w:val="26"/>
        </w:rPr>
      </w:pPr>
      <w:r w:rsidRPr="001937C4">
        <w:rPr>
          <w:sz w:val="26"/>
          <w:szCs w:val="26"/>
        </w:rPr>
        <w:t xml:space="preserve">1.1. Tiêu chuẩn </w:t>
      </w:r>
      <w:proofErr w:type="gramStart"/>
      <w:r w:rsidRPr="001937C4">
        <w:rPr>
          <w:sz w:val="26"/>
          <w:szCs w:val="26"/>
        </w:rPr>
        <w:t>chung</w:t>
      </w:r>
      <w:proofErr w:type="gramEnd"/>
    </w:p>
    <w:p w:rsidR="00000000" w:rsidRPr="001937C4" w:rsidRDefault="002960CD" w:rsidP="001937C4">
      <w:pPr>
        <w:spacing w:after="120"/>
        <w:jc w:val="both"/>
        <w:rPr>
          <w:sz w:val="26"/>
          <w:szCs w:val="26"/>
        </w:rPr>
      </w:pPr>
      <w:r w:rsidRPr="001937C4">
        <w:rPr>
          <w:sz w:val="26"/>
          <w:szCs w:val="26"/>
        </w:rPr>
        <w:t>1.1.1. Có tinh thần yêu nước sâu sắc tận tụy phục vụ nhân dân, kiên định mụ</w:t>
      </w:r>
      <w:r w:rsidRPr="001937C4">
        <w:rPr>
          <w:sz w:val="26"/>
          <w:szCs w:val="26"/>
        </w:rPr>
        <w:t>c tiêu độc lập dân tộc và chủ nghĩa xã hội, phấn đấu thực hiện có kết quả đường lối chủ trưởng của Đảng, chính sách, pháp luật của Nhà nước;</w:t>
      </w:r>
    </w:p>
    <w:p w:rsidR="00000000" w:rsidRPr="001937C4" w:rsidRDefault="002960CD" w:rsidP="001937C4">
      <w:pPr>
        <w:spacing w:after="120"/>
        <w:jc w:val="both"/>
        <w:rPr>
          <w:sz w:val="26"/>
          <w:szCs w:val="26"/>
        </w:rPr>
      </w:pPr>
      <w:r w:rsidRPr="001937C4">
        <w:rPr>
          <w:sz w:val="26"/>
          <w:szCs w:val="26"/>
        </w:rPr>
        <w:t xml:space="preserve">1.1.2. Cần kiệm liêm chính, chí công vô </w:t>
      </w:r>
      <w:proofErr w:type="gramStart"/>
      <w:r w:rsidRPr="001937C4">
        <w:rPr>
          <w:sz w:val="26"/>
          <w:szCs w:val="26"/>
        </w:rPr>
        <w:t>tư</w:t>
      </w:r>
      <w:proofErr w:type="gramEnd"/>
      <w:r w:rsidRPr="001937C4">
        <w:rPr>
          <w:sz w:val="26"/>
          <w:szCs w:val="26"/>
        </w:rPr>
        <w:t xml:space="preserve">. </w:t>
      </w:r>
      <w:proofErr w:type="gramStart"/>
      <w:r w:rsidRPr="001937C4">
        <w:rPr>
          <w:sz w:val="26"/>
          <w:szCs w:val="26"/>
        </w:rPr>
        <w:t>Không tham nhũng và có tinh thần đấu tranh chống tham nhũng.</w:t>
      </w:r>
      <w:proofErr w:type="gramEnd"/>
      <w:r w:rsidRPr="001937C4">
        <w:rPr>
          <w:sz w:val="26"/>
          <w:szCs w:val="26"/>
        </w:rPr>
        <w:t xml:space="preserve"> </w:t>
      </w:r>
      <w:proofErr w:type="gramStart"/>
      <w:r w:rsidRPr="001937C4">
        <w:rPr>
          <w:sz w:val="26"/>
          <w:szCs w:val="26"/>
        </w:rPr>
        <w:t xml:space="preserve">Có ý thức </w:t>
      </w:r>
      <w:r w:rsidRPr="001937C4">
        <w:rPr>
          <w:sz w:val="26"/>
          <w:szCs w:val="26"/>
        </w:rPr>
        <w:t>tổ chức kỷ luật.</w:t>
      </w:r>
      <w:proofErr w:type="gramEnd"/>
      <w:r w:rsidRPr="001937C4">
        <w:rPr>
          <w:sz w:val="26"/>
          <w:szCs w:val="26"/>
        </w:rPr>
        <w:t xml:space="preserve"> Trung thực, không cơ hội, gắn bó mật thiết với nhân dân, được nhân dân tín nhiệm;</w:t>
      </w:r>
    </w:p>
    <w:p w:rsidR="00000000" w:rsidRPr="001937C4" w:rsidRDefault="002960CD" w:rsidP="001937C4">
      <w:pPr>
        <w:spacing w:after="120"/>
        <w:jc w:val="both"/>
        <w:rPr>
          <w:sz w:val="26"/>
          <w:szCs w:val="26"/>
        </w:rPr>
      </w:pPr>
      <w:r w:rsidRPr="001937C4">
        <w:rPr>
          <w:sz w:val="26"/>
          <w:szCs w:val="26"/>
        </w:rPr>
        <w:t>1.1.3. Có trình độ về lý luận chính trị, văn hóa, chuyên môn nghiệp vụ, nắm vững quan điểm chủ trương, đường lối của Đảng, chính sách và pháp luật của Nhà nư</w:t>
      </w:r>
      <w:r w:rsidRPr="001937C4">
        <w:rPr>
          <w:sz w:val="26"/>
          <w:szCs w:val="26"/>
        </w:rPr>
        <w:t>ớc, đủ năng lực đáp ứng yêu cầu nhiệm vụ được giao.</w:t>
      </w:r>
    </w:p>
    <w:p w:rsidR="00000000" w:rsidRPr="001937C4" w:rsidRDefault="002960CD" w:rsidP="001937C4">
      <w:pPr>
        <w:spacing w:after="120"/>
        <w:jc w:val="both"/>
        <w:rPr>
          <w:sz w:val="26"/>
          <w:szCs w:val="26"/>
        </w:rPr>
      </w:pPr>
      <w:r w:rsidRPr="001937C4">
        <w:rPr>
          <w:sz w:val="26"/>
          <w:szCs w:val="26"/>
        </w:rPr>
        <w:t>1.2. Điều kiện để bổ nhiệm</w:t>
      </w:r>
    </w:p>
    <w:p w:rsidR="00000000" w:rsidRPr="001937C4" w:rsidRDefault="002960CD" w:rsidP="001937C4">
      <w:pPr>
        <w:spacing w:after="120"/>
        <w:jc w:val="both"/>
        <w:rPr>
          <w:sz w:val="26"/>
          <w:szCs w:val="26"/>
        </w:rPr>
      </w:pPr>
      <w:r w:rsidRPr="001937C4">
        <w:rPr>
          <w:sz w:val="26"/>
          <w:szCs w:val="26"/>
        </w:rPr>
        <w:t xml:space="preserve">1.2.1. Về tuổi đời: Cán bộ, công chức được bổ nhiệm lần đầu giữ chức vụ Giám đốc Sở Nội vụ, nói </w:t>
      </w:r>
      <w:proofErr w:type="gramStart"/>
      <w:r w:rsidRPr="001937C4">
        <w:rPr>
          <w:sz w:val="26"/>
          <w:szCs w:val="26"/>
        </w:rPr>
        <w:t>chung</w:t>
      </w:r>
      <w:proofErr w:type="gramEnd"/>
      <w:r w:rsidRPr="001937C4">
        <w:rPr>
          <w:sz w:val="26"/>
          <w:szCs w:val="26"/>
        </w:rPr>
        <w:t xml:space="preserve"> đối với nam không quá 55 tuổi, đối với nữ không quá 50 tuổi.</w:t>
      </w:r>
    </w:p>
    <w:p w:rsidR="00000000" w:rsidRPr="001937C4" w:rsidRDefault="002960CD" w:rsidP="001937C4">
      <w:pPr>
        <w:spacing w:after="120"/>
        <w:jc w:val="both"/>
        <w:rPr>
          <w:sz w:val="26"/>
          <w:szCs w:val="26"/>
        </w:rPr>
      </w:pPr>
      <w:r w:rsidRPr="001937C4">
        <w:rPr>
          <w:sz w:val="26"/>
          <w:szCs w:val="26"/>
        </w:rPr>
        <w:t>1.2.2. Hồ sơ đ</w:t>
      </w:r>
      <w:r w:rsidRPr="001937C4">
        <w:rPr>
          <w:sz w:val="26"/>
          <w:szCs w:val="26"/>
        </w:rPr>
        <w:t xml:space="preserve">ầy đủ, lý lịch cá nhân rõ ràng và được cơ quan có thẩm quyền xác minh và xác nhận </w:t>
      </w:r>
      <w:proofErr w:type="gramStart"/>
      <w:r w:rsidRPr="001937C4">
        <w:rPr>
          <w:sz w:val="26"/>
          <w:szCs w:val="26"/>
        </w:rPr>
        <w:t>theo</w:t>
      </w:r>
      <w:proofErr w:type="gramEnd"/>
      <w:r w:rsidRPr="001937C4">
        <w:rPr>
          <w:sz w:val="26"/>
          <w:szCs w:val="26"/>
        </w:rPr>
        <w:t xml:space="preserve"> quy định;</w:t>
      </w:r>
    </w:p>
    <w:p w:rsidR="00000000" w:rsidRPr="001937C4" w:rsidRDefault="002960CD" w:rsidP="001937C4">
      <w:pPr>
        <w:spacing w:after="120"/>
        <w:jc w:val="both"/>
        <w:rPr>
          <w:sz w:val="26"/>
          <w:szCs w:val="26"/>
        </w:rPr>
      </w:pPr>
      <w:r w:rsidRPr="001937C4">
        <w:rPr>
          <w:sz w:val="26"/>
          <w:szCs w:val="26"/>
        </w:rPr>
        <w:t xml:space="preserve">1.2.3. Có bản kê khai tại thời điểm xem xét bổ nhiệm về tài sản, nhà, đất </w:t>
      </w:r>
      <w:proofErr w:type="gramStart"/>
      <w:r w:rsidRPr="001937C4">
        <w:rPr>
          <w:sz w:val="26"/>
          <w:szCs w:val="26"/>
        </w:rPr>
        <w:t>theo</w:t>
      </w:r>
      <w:proofErr w:type="gramEnd"/>
      <w:r w:rsidRPr="001937C4">
        <w:rPr>
          <w:sz w:val="26"/>
          <w:szCs w:val="26"/>
        </w:rPr>
        <w:t xml:space="preserve"> quy định.</w:t>
      </w:r>
    </w:p>
    <w:p w:rsidR="00000000" w:rsidRPr="001937C4" w:rsidRDefault="002960CD" w:rsidP="001937C4">
      <w:pPr>
        <w:spacing w:after="120"/>
        <w:jc w:val="both"/>
        <w:rPr>
          <w:sz w:val="26"/>
          <w:szCs w:val="26"/>
        </w:rPr>
      </w:pPr>
      <w:r w:rsidRPr="001937C4">
        <w:rPr>
          <w:sz w:val="26"/>
          <w:szCs w:val="26"/>
        </w:rPr>
        <w:t>1.2.4. Thời hạn mỗi lần bổ nhiệm là 5 năm.</w:t>
      </w:r>
    </w:p>
    <w:p w:rsidR="00000000" w:rsidRPr="001937C4" w:rsidRDefault="002960CD" w:rsidP="001937C4">
      <w:pPr>
        <w:spacing w:after="120"/>
        <w:jc w:val="both"/>
        <w:rPr>
          <w:sz w:val="26"/>
          <w:szCs w:val="26"/>
        </w:rPr>
      </w:pPr>
      <w:r w:rsidRPr="001937C4">
        <w:rPr>
          <w:sz w:val="26"/>
          <w:szCs w:val="26"/>
        </w:rPr>
        <w:t xml:space="preserve">1.2.5. Có sức khỏe để hoàn </w:t>
      </w:r>
      <w:r w:rsidRPr="001937C4">
        <w:rPr>
          <w:sz w:val="26"/>
          <w:szCs w:val="26"/>
        </w:rPr>
        <w:t>thành nhiệm vụ được giao.</w:t>
      </w:r>
    </w:p>
    <w:p w:rsidR="00000000" w:rsidRPr="001937C4" w:rsidRDefault="002960CD" w:rsidP="001937C4">
      <w:pPr>
        <w:spacing w:after="120"/>
        <w:jc w:val="both"/>
        <w:rPr>
          <w:sz w:val="26"/>
          <w:szCs w:val="26"/>
        </w:rPr>
      </w:pPr>
      <w:r w:rsidRPr="001937C4">
        <w:rPr>
          <w:sz w:val="26"/>
          <w:szCs w:val="26"/>
        </w:rPr>
        <w:t>1.2.6. Không trong thời gian bị thi hành kỷ luật từ khiểu trách trở lên.</w:t>
      </w:r>
    </w:p>
    <w:p w:rsidR="00000000" w:rsidRPr="001937C4" w:rsidRDefault="002960CD" w:rsidP="001937C4">
      <w:pPr>
        <w:spacing w:after="120"/>
        <w:jc w:val="both"/>
        <w:rPr>
          <w:sz w:val="26"/>
          <w:szCs w:val="26"/>
        </w:rPr>
      </w:pPr>
      <w:r w:rsidRPr="001937C4">
        <w:rPr>
          <w:b/>
          <w:bCs/>
          <w:sz w:val="26"/>
          <w:szCs w:val="26"/>
        </w:rPr>
        <w:t>2. Tiêu chuẩn cụ thể</w:t>
      </w:r>
    </w:p>
    <w:p w:rsidR="00000000" w:rsidRPr="001937C4" w:rsidRDefault="002960CD" w:rsidP="001937C4">
      <w:pPr>
        <w:spacing w:after="120"/>
        <w:jc w:val="both"/>
        <w:rPr>
          <w:sz w:val="26"/>
          <w:szCs w:val="26"/>
        </w:rPr>
      </w:pPr>
      <w:r w:rsidRPr="001937C4">
        <w:rPr>
          <w:sz w:val="26"/>
          <w:szCs w:val="26"/>
        </w:rPr>
        <w:t>2.1. Về phẩm chất đạo đức</w:t>
      </w:r>
    </w:p>
    <w:p w:rsidR="00000000" w:rsidRPr="001937C4" w:rsidRDefault="002960CD" w:rsidP="001937C4">
      <w:pPr>
        <w:spacing w:after="120"/>
        <w:jc w:val="both"/>
        <w:rPr>
          <w:sz w:val="26"/>
          <w:szCs w:val="26"/>
        </w:rPr>
      </w:pPr>
      <w:r w:rsidRPr="001937C4">
        <w:rPr>
          <w:sz w:val="26"/>
          <w:szCs w:val="26"/>
        </w:rPr>
        <w:t>2.1.1. Trung thành với Tổ quốc, với Đảng, với nhân dân; tích cực thực hiện và lãnh đạo, chỉ đạo đơn vị thực hi</w:t>
      </w:r>
      <w:r w:rsidRPr="001937C4">
        <w:rPr>
          <w:sz w:val="26"/>
          <w:szCs w:val="26"/>
        </w:rPr>
        <w:t>ện tốt công cuộc công nghiệp hóa, hiện đại hóa đất nước thể hiện bằng hiệu quả và chất lượng công tác được giao;</w:t>
      </w:r>
    </w:p>
    <w:p w:rsidR="00000000" w:rsidRPr="001937C4" w:rsidRDefault="002960CD" w:rsidP="001937C4">
      <w:pPr>
        <w:spacing w:after="120"/>
        <w:jc w:val="both"/>
        <w:rPr>
          <w:sz w:val="26"/>
          <w:szCs w:val="26"/>
        </w:rPr>
      </w:pPr>
      <w:r w:rsidRPr="001937C4">
        <w:rPr>
          <w:sz w:val="26"/>
          <w:szCs w:val="26"/>
        </w:rPr>
        <w:t>2.1.2. Có bản lĩnh vững vàng, dám nghĩ, dám làm và dám chịu trách nhiệm cá nhân; thẳng thắn trong đấu tranh chống tư tưởng bảo thủ, trì trệ, cụ</w:t>
      </w:r>
      <w:r w:rsidRPr="001937C4">
        <w:rPr>
          <w:sz w:val="26"/>
          <w:szCs w:val="26"/>
        </w:rPr>
        <w:t xml:space="preserve">c bộ bản vị; kiên quyết đấu tranh chống tham nhũng; </w:t>
      </w:r>
    </w:p>
    <w:p w:rsidR="00000000" w:rsidRPr="001937C4" w:rsidRDefault="002960CD" w:rsidP="001937C4">
      <w:pPr>
        <w:spacing w:after="120"/>
        <w:jc w:val="both"/>
        <w:rPr>
          <w:sz w:val="26"/>
          <w:szCs w:val="26"/>
        </w:rPr>
      </w:pPr>
      <w:r w:rsidRPr="001937C4">
        <w:rPr>
          <w:sz w:val="26"/>
          <w:szCs w:val="26"/>
        </w:rPr>
        <w:lastRenderedPageBreak/>
        <w:t>2.1.3. Giữ gìn đoàn kết nội bộ; tập hợp và phát huy được sức mạnh tập thể; công tâm và khách quan trong công tác; tôn trọng đồng ngiệp.</w:t>
      </w:r>
    </w:p>
    <w:p w:rsidR="00000000" w:rsidRPr="001937C4" w:rsidRDefault="002960CD" w:rsidP="001937C4">
      <w:pPr>
        <w:spacing w:after="120"/>
        <w:jc w:val="both"/>
        <w:rPr>
          <w:sz w:val="26"/>
          <w:szCs w:val="26"/>
        </w:rPr>
      </w:pPr>
      <w:r w:rsidRPr="001937C4">
        <w:rPr>
          <w:sz w:val="26"/>
          <w:szCs w:val="26"/>
        </w:rPr>
        <w:t>2.1.4. Bản thân và gia đình thực hiện tốt đường lối, chủ trương của</w:t>
      </w:r>
      <w:r w:rsidRPr="001937C4">
        <w:rPr>
          <w:sz w:val="26"/>
          <w:szCs w:val="26"/>
        </w:rPr>
        <w:t xml:space="preserve"> Đảng, chính sách, pháp luật của Nhà nước, các quy định của địa phương và nơi cư trú.</w:t>
      </w:r>
    </w:p>
    <w:p w:rsidR="00000000" w:rsidRPr="001937C4" w:rsidRDefault="002960CD" w:rsidP="001937C4">
      <w:pPr>
        <w:spacing w:after="120"/>
        <w:jc w:val="both"/>
        <w:rPr>
          <w:sz w:val="26"/>
          <w:szCs w:val="26"/>
        </w:rPr>
      </w:pPr>
      <w:r w:rsidRPr="001937C4">
        <w:rPr>
          <w:sz w:val="26"/>
          <w:szCs w:val="26"/>
        </w:rPr>
        <w:t>2.2. Năng lực lãnh đạo, quản lý, điều hành.</w:t>
      </w:r>
    </w:p>
    <w:p w:rsidR="00000000" w:rsidRPr="001937C4" w:rsidRDefault="002960CD" w:rsidP="001937C4">
      <w:pPr>
        <w:spacing w:after="120"/>
        <w:jc w:val="both"/>
        <w:rPr>
          <w:sz w:val="26"/>
          <w:szCs w:val="26"/>
        </w:rPr>
      </w:pPr>
      <w:r w:rsidRPr="001937C4">
        <w:rPr>
          <w:sz w:val="26"/>
          <w:szCs w:val="26"/>
        </w:rPr>
        <w:t xml:space="preserve">2.2.1. Có năng lực nghiên cứu và xây dựng các văn bản quy phạm pháp luật, nghiên cứu thực tiễn, đề xuất các định hướng, chiến </w:t>
      </w:r>
      <w:r w:rsidRPr="001937C4">
        <w:rPr>
          <w:sz w:val="26"/>
          <w:szCs w:val="26"/>
        </w:rPr>
        <w:t>lược, quy hoạch, kế hoạch phát triển và tăng cường quản lý nhà nước về nội vụ trên địa bàn địa phương đề Ủy ban nhân dân tỉnh xem xét quyết định; đề xuất với Ủy ban nhân dân tỉnh các giải pháp, biện pháp để triển khai thực hiện theo chức năng, nhiệm vụ, qu</w:t>
      </w:r>
      <w:r w:rsidRPr="001937C4">
        <w:rPr>
          <w:sz w:val="26"/>
          <w:szCs w:val="26"/>
        </w:rPr>
        <w:t>yền hạn được giao;</w:t>
      </w:r>
    </w:p>
    <w:p w:rsidR="00000000" w:rsidRPr="001937C4" w:rsidRDefault="002960CD" w:rsidP="001937C4">
      <w:pPr>
        <w:spacing w:after="120"/>
        <w:jc w:val="both"/>
        <w:rPr>
          <w:sz w:val="26"/>
          <w:szCs w:val="26"/>
        </w:rPr>
      </w:pPr>
      <w:r w:rsidRPr="001937C4">
        <w:rPr>
          <w:sz w:val="26"/>
          <w:szCs w:val="26"/>
        </w:rPr>
        <w:t xml:space="preserve">2.2.2. Có năng lực lãnh đạo, quản lý điều hành các hoạt động của Sở, nắm vững các hoạt động về công tác nội vụ trên địa bàn tỉnh; có khả năng nghiên cứu, hướng dẫn, tổ chức thực hiện, tổng kết thực tiễn, cụ thể hóa đường lối, chủ trương </w:t>
      </w:r>
      <w:r w:rsidRPr="001937C4">
        <w:rPr>
          <w:sz w:val="26"/>
          <w:szCs w:val="26"/>
        </w:rPr>
        <w:t>của Đảng, chính sách, pháp luật của Nhà nước, các quy định của tỉnh và Bộ Nội vụ về xây dựng và phát triển ngành, quản lý nhà nước về nội vụ trong tỉnh.</w:t>
      </w:r>
    </w:p>
    <w:p w:rsidR="00000000" w:rsidRPr="001937C4" w:rsidRDefault="002960CD" w:rsidP="001937C4">
      <w:pPr>
        <w:spacing w:after="120"/>
        <w:jc w:val="both"/>
        <w:rPr>
          <w:sz w:val="26"/>
          <w:szCs w:val="26"/>
        </w:rPr>
      </w:pPr>
      <w:r w:rsidRPr="001937C4">
        <w:rPr>
          <w:sz w:val="26"/>
          <w:szCs w:val="26"/>
        </w:rPr>
        <w:t>2.3. Hiểu biết</w:t>
      </w:r>
    </w:p>
    <w:p w:rsidR="00000000" w:rsidRPr="001937C4" w:rsidRDefault="002960CD" w:rsidP="001937C4">
      <w:pPr>
        <w:spacing w:after="120"/>
        <w:jc w:val="both"/>
        <w:rPr>
          <w:sz w:val="26"/>
          <w:szCs w:val="26"/>
        </w:rPr>
      </w:pPr>
      <w:r w:rsidRPr="001937C4">
        <w:rPr>
          <w:sz w:val="26"/>
          <w:szCs w:val="26"/>
        </w:rPr>
        <w:t>2.3.1. Nắm vững chủ trương, đường lối của Đảng, chính sách, pháp luật của Nhà nước về cô</w:t>
      </w:r>
      <w:r w:rsidRPr="001937C4">
        <w:rPr>
          <w:sz w:val="26"/>
          <w:szCs w:val="26"/>
        </w:rPr>
        <w:t>ng tác quản lý nhà nước về nội vụ;</w:t>
      </w:r>
    </w:p>
    <w:p w:rsidR="00000000" w:rsidRPr="001937C4" w:rsidRDefault="002960CD" w:rsidP="001937C4">
      <w:pPr>
        <w:spacing w:after="120"/>
        <w:jc w:val="both"/>
        <w:rPr>
          <w:sz w:val="26"/>
          <w:szCs w:val="26"/>
        </w:rPr>
      </w:pPr>
      <w:r w:rsidRPr="001937C4">
        <w:rPr>
          <w:sz w:val="26"/>
          <w:szCs w:val="26"/>
        </w:rPr>
        <w:t>2.3.2. Nắm vững các văn bản quy phạm pháp luật và các lĩnh vực liên quan đến hoạt động và quản lý của Sở;</w:t>
      </w:r>
    </w:p>
    <w:p w:rsidR="00000000" w:rsidRPr="001937C4" w:rsidRDefault="002960CD" w:rsidP="001937C4">
      <w:pPr>
        <w:spacing w:after="120"/>
        <w:jc w:val="both"/>
        <w:rPr>
          <w:sz w:val="26"/>
          <w:szCs w:val="26"/>
        </w:rPr>
      </w:pPr>
      <w:r w:rsidRPr="001937C4">
        <w:rPr>
          <w:sz w:val="26"/>
          <w:szCs w:val="26"/>
        </w:rPr>
        <w:t>2.3.3. Nắm vững tình hình chính trị, kinh tế, xã hội của tỉnh; am hiểu tình hình chính trị, kinh tế, xã hội của đất</w:t>
      </w:r>
      <w:r w:rsidRPr="001937C4">
        <w:rPr>
          <w:sz w:val="26"/>
          <w:szCs w:val="26"/>
        </w:rPr>
        <w:t xml:space="preserve"> nước, các nước trong khu vực và thế giới.</w:t>
      </w:r>
    </w:p>
    <w:p w:rsidR="00000000" w:rsidRPr="001937C4" w:rsidRDefault="002960CD" w:rsidP="001937C4">
      <w:pPr>
        <w:spacing w:after="120"/>
        <w:jc w:val="both"/>
        <w:rPr>
          <w:sz w:val="26"/>
          <w:szCs w:val="26"/>
        </w:rPr>
      </w:pPr>
      <w:r w:rsidRPr="001937C4">
        <w:rPr>
          <w:sz w:val="26"/>
          <w:szCs w:val="26"/>
        </w:rPr>
        <w:t>2.4. Trình độ</w:t>
      </w:r>
    </w:p>
    <w:p w:rsidR="00000000" w:rsidRPr="001937C4" w:rsidRDefault="002960CD" w:rsidP="001937C4">
      <w:pPr>
        <w:spacing w:after="120"/>
        <w:jc w:val="both"/>
        <w:rPr>
          <w:sz w:val="26"/>
          <w:szCs w:val="26"/>
        </w:rPr>
      </w:pPr>
      <w:r w:rsidRPr="001937C4">
        <w:rPr>
          <w:sz w:val="26"/>
          <w:szCs w:val="26"/>
        </w:rPr>
        <w:t>2.4.1. Có trình độ chuyên môn nghiệp vụ tốt nghiệp đại học trở lên. Có thời gian từ 5 năm trở lên kinh qua công tác tổ chức nhà nước, tổ chức Đảng và giữ chức vụ lãnh đạo, quản lý cấp trưởng phòng tr</w:t>
      </w:r>
      <w:r w:rsidRPr="001937C4">
        <w:rPr>
          <w:sz w:val="26"/>
          <w:szCs w:val="26"/>
        </w:rPr>
        <w:t>ở lên; hoặc đã kinh qua công tác lãnh đạo quản lý chủ chốt cấp sở, ban, ngành, cấp huyện của tỉnh;</w:t>
      </w:r>
    </w:p>
    <w:p w:rsidR="00000000" w:rsidRPr="001937C4" w:rsidRDefault="002960CD" w:rsidP="001937C4">
      <w:pPr>
        <w:spacing w:after="120"/>
        <w:jc w:val="both"/>
        <w:rPr>
          <w:sz w:val="26"/>
          <w:szCs w:val="26"/>
        </w:rPr>
      </w:pPr>
      <w:r w:rsidRPr="001937C4">
        <w:rPr>
          <w:sz w:val="26"/>
          <w:szCs w:val="26"/>
        </w:rPr>
        <w:t>2.4.2. Có trình độ lý luận chính trị cao cấp, dưới 45 tuổi phải qua đào tạo hệ tập trung;</w:t>
      </w:r>
    </w:p>
    <w:p w:rsidR="00000000" w:rsidRPr="001937C4" w:rsidRDefault="002960CD" w:rsidP="001937C4">
      <w:pPr>
        <w:spacing w:after="120"/>
        <w:jc w:val="both"/>
        <w:rPr>
          <w:sz w:val="26"/>
          <w:szCs w:val="26"/>
        </w:rPr>
      </w:pPr>
      <w:r w:rsidRPr="001937C4">
        <w:rPr>
          <w:sz w:val="26"/>
          <w:szCs w:val="26"/>
        </w:rPr>
        <w:t>2.4.3. Đủ tiêu chuẩn ngạch chuyên viên và tương đương trở lên;</w:t>
      </w:r>
    </w:p>
    <w:p w:rsidR="00000000" w:rsidRPr="001937C4" w:rsidRDefault="002960CD" w:rsidP="001937C4">
      <w:pPr>
        <w:spacing w:after="120"/>
        <w:jc w:val="both"/>
        <w:rPr>
          <w:sz w:val="26"/>
          <w:szCs w:val="26"/>
        </w:rPr>
      </w:pPr>
      <w:r w:rsidRPr="001937C4">
        <w:rPr>
          <w:sz w:val="26"/>
          <w:szCs w:val="26"/>
        </w:rPr>
        <w:t>2.4.</w:t>
      </w:r>
      <w:r w:rsidRPr="001937C4">
        <w:rPr>
          <w:sz w:val="26"/>
          <w:szCs w:val="26"/>
        </w:rPr>
        <w:t>4. Biết một ngoại ngữ thông dụng trình độ B trở lên;</w:t>
      </w:r>
    </w:p>
    <w:p w:rsidR="00000000" w:rsidRPr="001937C4" w:rsidRDefault="002960CD" w:rsidP="001937C4">
      <w:pPr>
        <w:spacing w:after="120"/>
        <w:jc w:val="both"/>
        <w:rPr>
          <w:sz w:val="26"/>
          <w:szCs w:val="26"/>
        </w:rPr>
      </w:pPr>
      <w:r w:rsidRPr="001937C4">
        <w:rPr>
          <w:sz w:val="26"/>
          <w:szCs w:val="26"/>
        </w:rPr>
        <w:t>2.4.5. Biết sử dụng máy vi tính trong công tác quản lý, điều hành và phục vụ chuyên môn nghiệp vụ</w:t>
      </w:r>
      <w:proofErr w:type="gramStart"/>
      <w:r w:rsidRPr="001937C4">
        <w:rPr>
          <w:sz w:val="26"/>
          <w:szCs w:val="26"/>
        </w:rPr>
        <w:t>./</w:t>
      </w:r>
      <w:proofErr w:type="gramEnd"/>
      <w:r w:rsidRPr="001937C4">
        <w:rPr>
          <w:sz w:val="26"/>
          <w:szCs w:val="26"/>
        </w:rPr>
        <w:t>.</w:t>
      </w:r>
    </w:p>
    <w:p w:rsidR="00000000" w:rsidRPr="001937C4" w:rsidRDefault="002960CD">
      <w:pPr>
        <w:rPr>
          <w:sz w:val="26"/>
          <w:szCs w:val="26"/>
        </w:rPr>
      </w:pPr>
    </w:p>
    <w:p w:rsidR="002960CD" w:rsidRPr="001937C4" w:rsidRDefault="002960CD">
      <w:pPr>
        <w:rPr>
          <w:sz w:val="26"/>
          <w:szCs w:val="26"/>
        </w:rPr>
      </w:pPr>
    </w:p>
    <w:sectPr w:rsidR="002960CD" w:rsidRPr="001937C4" w:rsidSect="009F1AC8">
      <w:pgSz w:w="12240" w:h="15840"/>
      <w:pgMar w:top="1152"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SortMethod w:val="0000"/>
  <w:defaultTabStop w:val="720"/>
  <w:noPunctuationKerning/>
  <w:characterSpacingControl w:val="doNotCompress"/>
  <w:compat/>
  <w:rsids>
    <w:rsidRoot w:val="00CC6990"/>
    <w:rsid w:val="001937C4"/>
    <w:rsid w:val="002960CD"/>
    <w:rsid w:val="009F1AC8"/>
    <w:rsid w:val="00CC6990"/>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F9622-D599-4C33-A8B8-93C88E69EEF4}"/>
</file>

<file path=customXml/itemProps2.xml><?xml version="1.0" encoding="utf-8"?>
<ds:datastoreItem xmlns:ds="http://schemas.openxmlformats.org/officeDocument/2006/customXml" ds:itemID="{C7D5A974-D304-42C2-B0A8-3BC46587D666}"/>
</file>

<file path=customXml/itemProps3.xml><?xml version="1.0" encoding="utf-8"?>
<ds:datastoreItem xmlns:ds="http://schemas.openxmlformats.org/officeDocument/2006/customXml" ds:itemID="{2C28DDBA-1A8B-4F9E-82C0-7303A4390C6C}"/>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1601-01-01T00:00:00Z</cp:lastPrinted>
  <dcterms:created xsi:type="dcterms:W3CDTF">2016-09-14T08:18:00Z</dcterms:created>
  <dcterms:modified xsi:type="dcterms:W3CDTF">2016-09-14T08:20:00Z</dcterms:modified>
</cp:coreProperties>
</file>