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D5" w:rsidRDefault="009E3F96">
      <w:pPr>
        <w:pStyle w:val="Bodytext30"/>
        <w:shd w:val="clear" w:color="auto" w:fill="auto"/>
        <w:sectPr w:rsidR="007638D5">
          <w:pgSz w:w="12240" w:h="15840"/>
          <w:pgMar w:top="57" w:right="6489" w:bottom="1731" w:left="2948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7.85pt;margin-top:-27.2pt;width:80.55pt;height:72.8pt;z-index:-1258293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638D5" w:rsidRDefault="007638D5">
                  <w:pPr>
                    <w:pStyle w:val="Bodytext4"/>
                    <w:shd w:val="clear" w:color="auto" w:fill="auto"/>
                  </w:pPr>
                </w:p>
              </w:txbxContent>
            </v:textbox>
            <w10:wrap type="square" side="right" anchorx="margin" anchory="margin"/>
          </v:shape>
        </w:pict>
      </w:r>
      <w:r>
        <w:t>Ký bởi: Cổng Thông tin điện tử Chính phủ Email: thongtinchínhphuèchinhphu.vn Cơ quan: Văn phòng Chính phủ Thời gian ký: 21.08.2017 09:43:19 +07:00</w:t>
      </w:r>
    </w:p>
    <w:p w:rsidR="007638D5" w:rsidRDefault="007638D5">
      <w:pPr>
        <w:spacing w:line="240" w:lineRule="exact"/>
        <w:rPr>
          <w:sz w:val="19"/>
          <w:szCs w:val="19"/>
        </w:rPr>
      </w:pPr>
    </w:p>
    <w:p w:rsidR="007638D5" w:rsidRDefault="007638D5">
      <w:pPr>
        <w:spacing w:before="51" w:after="51" w:line="240" w:lineRule="exact"/>
        <w:rPr>
          <w:sz w:val="19"/>
          <w:szCs w:val="19"/>
        </w:rPr>
      </w:pPr>
    </w:p>
    <w:p w:rsidR="007638D5" w:rsidRDefault="007638D5">
      <w:pPr>
        <w:rPr>
          <w:sz w:val="2"/>
          <w:szCs w:val="2"/>
        </w:rPr>
        <w:sectPr w:rsidR="007638D5">
          <w:type w:val="continuous"/>
          <w:pgSz w:w="12240" w:h="15840"/>
          <w:pgMar w:top="77" w:right="0" w:bottom="1730" w:left="0" w:header="0" w:footer="3" w:gutter="0"/>
          <w:cols w:space="720"/>
          <w:noEndnote/>
          <w:docGrid w:linePitch="360"/>
        </w:sectPr>
      </w:pPr>
    </w:p>
    <w:p w:rsidR="007638D5" w:rsidRDefault="009E3F96">
      <w:pPr>
        <w:pStyle w:val="Bodytext60"/>
        <w:shd w:val="clear" w:color="auto" w:fill="auto"/>
        <w:spacing w:before="0" w:after="286"/>
        <w:ind w:left="540" w:right="940"/>
      </w:pPr>
      <w:r>
        <w:lastRenderedPageBreak/>
        <w:pict>
          <v:shape id="_x0000_s1028" type="#_x0000_t202" style="position:absolute;left:0;text-align:left;margin-left:29.95pt;margin-top:0;width:72.95pt;height:16.45pt;z-index:-125829374;mso-wrap-distance-left:70.4pt;mso-wrap-distance-right:66pt;mso-wrap-distance-bottom:60.65pt;mso-position-horizontal-relative:margin" filled="f" stroked="f">
            <v:textbox style="mso-fit-shape-to-text:t" inset="0,0,0,0">
              <w:txbxContent>
                <w:p w:rsidR="007638D5" w:rsidRDefault="009E3F96">
                  <w:pPr>
                    <w:pStyle w:val="Bodytext60"/>
                    <w:shd w:val="clear" w:color="auto" w:fill="auto"/>
                    <w:spacing w:before="0" w:after="0" w:line="244" w:lineRule="exact"/>
                    <w:ind w:firstLine="0"/>
                  </w:pPr>
                  <w:r>
                    <w:rPr>
                      <w:rStyle w:val="Bodytext6Exact"/>
                      <w:b/>
                      <w:bCs/>
                    </w:rPr>
                    <w:t xml:space="preserve">CHÍNH </w:t>
                  </w:r>
                  <w:r>
                    <w:rPr>
                      <w:rStyle w:val="Bodytext6Exact"/>
                      <w:b/>
                      <w:bCs/>
                    </w:rPr>
                    <w:t>PHỦ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left:0;text-align:left;margin-left:-40.45pt;margin-top:41.05pt;width:160.15pt;height:36pt;z-index:-125829373;mso-wrap-distance-left:5pt;mso-wrap-distance-top:41.05pt;mso-wrap-distance-right:49.15pt;mso-position-horizontal-relative:margin" filled="f" stroked="f">
            <v:textbox style="mso-fit-shape-to-text:t" inset="0,0,0,0">
              <w:txbxContent>
                <w:p w:rsidR="007638D5" w:rsidRDefault="009E3F96">
                  <w:pPr>
                    <w:pStyle w:val="Bodytext80"/>
                    <w:shd w:val="clear" w:color="auto" w:fill="auto"/>
                    <w:spacing w:before="0" w:after="150"/>
                    <w:jc w:val="right"/>
                  </w:pPr>
                  <w:r>
                    <w:rPr>
                      <w:rStyle w:val="Bodytext8Exact"/>
                    </w:rPr>
                    <w:t xml:space="preserve">Số: </w:t>
                  </w:r>
                  <w:r>
                    <w:rPr>
                      <w:rStyle w:val="Bodytext8Exact"/>
                    </w:rPr>
                    <w:t>100/2017/NĐ-CP</w:t>
                  </w:r>
                </w:p>
              </w:txbxContent>
            </v:textbox>
            <w10:wrap type="square" side="right" anchorx="margin"/>
          </v:shape>
        </w:pict>
      </w:r>
      <w:r>
        <w:t xml:space="preserve">CỘNG HÒA XÃ HỘI CHỦ NGHĨA VIỆT NAM ĐỘC lập </w:t>
      </w:r>
      <w:r>
        <w:rPr>
          <w:rStyle w:val="Bodytext612pt"/>
        </w:rPr>
        <w:t xml:space="preserve">- </w:t>
      </w:r>
      <w:r>
        <w:t xml:space="preserve">Tự </w:t>
      </w:r>
      <w:r>
        <w:rPr>
          <w:rStyle w:val="Bodytext612pt"/>
        </w:rPr>
        <w:t xml:space="preserve">do - </w:t>
      </w:r>
      <w:r>
        <w:t>Hạnh phúc</w:t>
      </w:r>
    </w:p>
    <w:p w:rsidR="007638D5" w:rsidRDefault="009E3F96">
      <w:pPr>
        <w:pStyle w:val="Bodytext70"/>
        <w:shd w:val="clear" w:color="auto" w:fill="auto"/>
        <w:spacing w:before="0" w:after="374"/>
        <w:ind w:left="540"/>
      </w:pPr>
      <w:r>
        <w:t>Hà Nội, ngày 18 tháng 8 năm 2017</w:t>
      </w:r>
    </w:p>
    <w:p w:rsidR="007638D5" w:rsidRDefault="009E3F96">
      <w:pPr>
        <w:pStyle w:val="Bodytext60"/>
        <w:shd w:val="clear" w:color="auto" w:fill="auto"/>
        <w:spacing w:before="0" w:after="0" w:line="324" w:lineRule="exact"/>
        <w:ind w:left="3360" w:firstLine="0"/>
      </w:pPr>
      <w:r>
        <w:t>NGHỊ ĐỊNH</w:t>
      </w:r>
    </w:p>
    <w:p w:rsidR="007638D5" w:rsidRDefault="001527BE">
      <w:pPr>
        <w:pStyle w:val="Bodytext60"/>
        <w:shd w:val="clear" w:color="auto" w:fill="auto"/>
        <w:spacing w:before="0" w:after="646" w:line="324" w:lineRule="exact"/>
        <w:ind w:left="680" w:right="1300" w:firstLine="620"/>
      </w:pPr>
      <w:proofErr w:type="spellStart"/>
      <w:r>
        <w:rPr>
          <w:lang w:val="en-US"/>
        </w:rPr>
        <w:t>Sửa</w:t>
      </w:r>
      <w:proofErr w:type="spellEnd"/>
      <w:r>
        <w:rPr>
          <w:lang w:val="en-US"/>
        </w:rPr>
        <w:t xml:space="preserve"> đ</w:t>
      </w:r>
      <w:r w:rsidR="009E3F96">
        <w:t xml:space="preserve">ổi, bổ sung một số điều của Nghị định số 39/2017/NĐ-CP ngày 04 tháng 4 năm 2017 về quản lý thức ăn </w:t>
      </w:r>
      <w:r w:rsidR="009E3F96">
        <w:t>chăn nuôi, thủy sản</w:t>
      </w:r>
    </w:p>
    <w:p w:rsidR="007638D5" w:rsidRDefault="009E3F96">
      <w:pPr>
        <w:pStyle w:val="Bodytext70"/>
        <w:shd w:val="clear" w:color="auto" w:fill="auto"/>
        <w:spacing w:before="0" w:after="22"/>
        <w:ind w:firstLine="680"/>
        <w:jc w:val="both"/>
      </w:pPr>
      <w:r>
        <w:t>Căn cứ Luật tố chức Chính phủ ngày 19 tháng 6 năm 2015;</w:t>
      </w:r>
    </w:p>
    <w:p w:rsidR="007638D5" w:rsidRDefault="009E3F96">
      <w:pPr>
        <w:pStyle w:val="Bodytext70"/>
        <w:shd w:val="clear" w:color="auto" w:fill="auto"/>
        <w:tabs>
          <w:tab w:val="left" w:pos="7937"/>
        </w:tabs>
        <w:spacing w:before="0" w:after="0" w:line="463" w:lineRule="exact"/>
        <w:ind w:firstLine="680"/>
        <w:jc w:val="both"/>
      </w:pPr>
      <w:r>
        <w:t>Căn cứ Luật thủy sản ngày 26 tháng 11 năm 2003;</w:t>
      </w:r>
      <w:r>
        <w:tab/>
        <w:t>.</w:t>
      </w:r>
    </w:p>
    <w:p w:rsidR="007638D5" w:rsidRDefault="009E3F96">
      <w:pPr>
        <w:pStyle w:val="Bodytext70"/>
        <w:shd w:val="clear" w:color="auto" w:fill="auto"/>
        <w:spacing w:before="0" w:after="0" w:line="463" w:lineRule="exact"/>
        <w:ind w:firstLine="680"/>
        <w:jc w:val="both"/>
      </w:pPr>
      <w:r>
        <w:t>Cấn cứ Luật tiêu chuẩn và quy chuấn kỹ thuật ngày 29 thảng 6 năm 2006;</w:t>
      </w:r>
    </w:p>
    <w:p w:rsidR="007638D5" w:rsidRDefault="009E3F96">
      <w:pPr>
        <w:pStyle w:val="Bodytext70"/>
        <w:shd w:val="clear" w:color="auto" w:fill="auto"/>
        <w:spacing w:before="0" w:after="0" w:line="463" w:lineRule="exact"/>
        <w:ind w:firstLine="680"/>
        <w:jc w:val="both"/>
      </w:pPr>
      <w:r>
        <w:t xml:space="preserve">Căn cứ Luật chất lượng sản </w:t>
      </w:r>
      <w:r w:rsidR="001527BE">
        <w:t xml:space="preserve">phấm, hàng hoá ngày 21 tháng </w:t>
      </w:r>
      <w:r w:rsidR="001527BE">
        <w:rPr>
          <w:lang w:val="en-US"/>
        </w:rPr>
        <w:t xml:space="preserve">11 </w:t>
      </w:r>
      <w:r>
        <w:t xml:space="preserve"> năm 2007;</w:t>
      </w:r>
    </w:p>
    <w:p w:rsidR="007638D5" w:rsidRDefault="009E3F96">
      <w:pPr>
        <w:pStyle w:val="Bodytext70"/>
        <w:shd w:val="clear" w:color="auto" w:fill="auto"/>
        <w:spacing w:before="0" w:after="0" w:line="463" w:lineRule="exact"/>
        <w:ind w:firstLine="680"/>
        <w:jc w:val="both"/>
      </w:pPr>
      <w:r>
        <w:t>Căn cứ Luật đầu tư ngày 26 tháng 11 năm 2014;</w:t>
      </w:r>
    </w:p>
    <w:p w:rsidR="007638D5" w:rsidRDefault="009E3F96">
      <w:pPr>
        <w:pStyle w:val="Bodytext70"/>
        <w:shd w:val="clear" w:color="auto" w:fill="auto"/>
        <w:spacing w:before="0" w:after="0" w:line="463" w:lineRule="exact"/>
        <w:ind w:firstLine="680"/>
        <w:jc w:val="both"/>
      </w:pPr>
      <w:r>
        <w:t>Căn cứ Luật doanh nghiệp ngày 26 tháng 11 năm 2014;</w:t>
      </w:r>
    </w:p>
    <w:p w:rsidR="007638D5" w:rsidRDefault="003612E1">
      <w:pPr>
        <w:pStyle w:val="Bodytext70"/>
        <w:shd w:val="clear" w:color="auto" w:fill="auto"/>
        <w:spacing w:before="0" w:after="0" w:line="463" w:lineRule="exact"/>
        <w:ind w:firstLine="680"/>
        <w:jc w:val="both"/>
      </w:pPr>
      <w:r>
        <w:t>Căn cứ Luật th</w:t>
      </w:r>
      <w:r>
        <w:rPr>
          <w:lang w:val="en-US"/>
        </w:rPr>
        <w:t xml:space="preserve">ú </w:t>
      </w:r>
      <w:r w:rsidR="009E3F96">
        <w:t>y ngày 19 thảng 6 năm 2015;</w:t>
      </w:r>
    </w:p>
    <w:p w:rsidR="007638D5" w:rsidRDefault="009E3F96">
      <w:pPr>
        <w:pStyle w:val="Bodytext70"/>
        <w:shd w:val="clear" w:color="auto" w:fill="auto"/>
        <w:spacing w:before="0" w:after="0" w:line="463" w:lineRule="exact"/>
        <w:ind w:firstLine="680"/>
        <w:jc w:val="both"/>
      </w:pPr>
      <w:r>
        <w:t>Căn cứ Pháp lệnh gi</w:t>
      </w:r>
      <w:r w:rsidR="001527BE">
        <w:rPr>
          <w:lang w:val="en-US"/>
        </w:rPr>
        <w:t>ố</w:t>
      </w:r>
      <w:r>
        <w:t>ng vật nuôi ngày 24 tháng 3 năm 2004;</w:t>
      </w:r>
    </w:p>
    <w:p w:rsidR="007638D5" w:rsidRDefault="009E3F96">
      <w:pPr>
        <w:pStyle w:val="Bodytext70"/>
        <w:shd w:val="clear" w:color="auto" w:fill="auto"/>
        <w:spacing w:before="0" w:after="0" w:line="463" w:lineRule="exact"/>
        <w:ind w:firstLine="680"/>
        <w:jc w:val="both"/>
      </w:pPr>
      <w:r>
        <w:t xml:space="preserve">Theo đề nghị của Bộ trưởng Bộ Nông nghiệp và </w:t>
      </w:r>
      <w:r>
        <w:t>Phát triển nông thôn;</w:t>
      </w:r>
    </w:p>
    <w:p w:rsidR="007638D5" w:rsidRDefault="009E3F96">
      <w:pPr>
        <w:pStyle w:val="Bodytext70"/>
        <w:shd w:val="clear" w:color="auto" w:fill="auto"/>
        <w:spacing w:before="0" w:after="180" w:line="330" w:lineRule="exact"/>
        <w:ind w:right="740" w:firstLine="680"/>
        <w:jc w:val="both"/>
      </w:pPr>
      <w:r>
        <w:t>Ch</w:t>
      </w:r>
      <w:r w:rsidR="001527BE">
        <w:rPr>
          <w:lang w:val="en-US"/>
        </w:rPr>
        <w:t>í</w:t>
      </w:r>
      <w:r>
        <w:t>nh phủ han hành Nghị định sủa đổi, bổ sung một số điều của Nghị định so 39/2017/NĐ-CP ngày 04 thảng 4 năm 2017 v</w:t>
      </w:r>
      <w:r w:rsidR="001527BE">
        <w:rPr>
          <w:lang w:val="en-US"/>
        </w:rPr>
        <w:t>ề</w:t>
      </w:r>
      <w:r>
        <w:t xml:space="preserve"> quản lý thức ăn chăn nuôi, thủy sản.</w:t>
      </w:r>
    </w:p>
    <w:p w:rsidR="007638D5" w:rsidRDefault="009E3F96">
      <w:pPr>
        <w:pStyle w:val="Bodytext60"/>
        <w:shd w:val="clear" w:color="auto" w:fill="auto"/>
        <w:spacing w:before="0" w:after="231" w:line="330" w:lineRule="exact"/>
        <w:ind w:right="740" w:firstLine="680"/>
        <w:jc w:val="both"/>
      </w:pPr>
      <w:r>
        <w:t>Điều 1. Sửa đổi, bổ sung một số điều của Nghị định số 39/2017/NĐ-CP ngày 04 thán</w:t>
      </w:r>
      <w:r>
        <w:t>g 4 năm 2017 về quản lý thức ăn chăn nuôi, thủy sản</w:t>
      </w:r>
    </w:p>
    <w:p w:rsidR="007638D5" w:rsidRDefault="009E3F96">
      <w:pPr>
        <w:pStyle w:val="Bodytext80"/>
        <w:shd w:val="clear" w:color="auto" w:fill="auto"/>
        <w:spacing w:before="0" w:after="198"/>
        <w:ind w:firstLine="680"/>
      </w:pPr>
      <w:r>
        <w:t>Bố sung khoản 5a sau khoản 5 Điều 29 như sau:</w:t>
      </w:r>
    </w:p>
    <w:p w:rsidR="007638D5" w:rsidRDefault="001527BE">
      <w:pPr>
        <w:pStyle w:val="Bodytext60"/>
        <w:shd w:val="clear" w:color="auto" w:fill="auto"/>
        <w:spacing w:before="0" w:after="111" w:line="244" w:lineRule="exact"/>
        <w:ind w:firstLine="680"/>
        <w:jc w:val="both"/>
      </w:pPr>
      <w:r>
        <w:t>“</w:t>
      </w:r>
      <w:r>
        <w:rPr>
          <w:lang w:val="en-US"/>
        </w:rPr>
        <w:t>Đ</w:t>
      </w:r>
      <w:r w:rsidR="009E3F96">
        <w:t>iều 29. Điều khoản chuyển tiếp</w:t>
      </w:r>
    </w:p>
    <w:p w:rsidR="007638D5" w:rsidRDefault="009E3F96">
      <w:pPr>
        <w:pStyle w:val="Bodytext80"/>
        <w:shd w:val="clear" w:color="auto" w:fill="auto"/>
        <w:spacing w:before="0" w:after="249" w:line="330" w:lineRule="exact"/>
        <w:ind w:right="740" w:firstLine="680"/>
      </w:pPr>
      <w:r>
        <w:t>5a. Đồi với các sản phẩm thức ăn chăn nuôi, thủy sản hết hi</w:t>
      </w:r>
      <w:r w:rsidR="001527BE">
        <w:t>ệu lực lưu hành trong khoảng th</w:t>
      </w:r>
      <w:r w:rsidR="001527BE">
        <w:rPr>
          <w:lang w:val="en-US"/>
        </w:rPr>
        <w:t>ờ</w:t>
      </w:r>
      <w:r>
        <w:t>i gian từ ngày 20 tháng 11 năm 201</w:t>
      </w:r>
      <w:r>
        <w:t>6 đến hết ngày 20 tháng 11 năm 2017 thì được tiếp tục lưu hành không quá 18 tháng”.</w:t>
      </w:r>
    </w:p>
    <w:p w:rsidR="007638D5" w:rsidRDefault="009E3F96">
      <w:pPr>
        <w:pStyle w:val="Bodytext60"/>
        <w:shd w:val="clear" w:color="auto" w:fill="auto"/>
        <w:spacing w:before="0" w:after="162" w:line="244" w:lineRule="exact"/>
        <w:ind w:firstLine="680"/>
        <w:jc w:val="both"/>
      </w:pPr>
      <w:r>
        <w:t>Điều 2. Hiệu lực thi hành</w:t>
      </w:r>
    </w:p>
    <w:p w:rsidR="007638D5" w:rsidRDefault="009E3F96">
      <w:pPr>
        <w:pStyle w:val="Bodytext80"/>
        <w:shd w:val="clear" w:color="auto" w:fill="auto"/>
        <w:spacing w:before="0" w:after="0"/>
        <w:ind w:firstLine="680"/>
      </w:pPr>
      <w:r>
        <w:t>Nghị định này có hiệu lực từ ngày ký ban hành.</w:t>
      </w:r>
      <w:r>
        <w:br w:type="page"/>
      </w:r>
    </w:p>
    <w:p w:rsidR="007638D5" w:rsidRDefault="009E3F96">
      <w:pPr>
        <w:pStyle w:val="Heading20"/>
        <w:keepNext/>
        <w:keepLines/>
        <w:shd w:val="clear" w:color="auto" w:fill="auto"/>
        <w:spacing w:after="151"/>
      </w:pPr>
      <w:bookmarkStart w:id="0" w:name="bookmark1"/>
      <w:r>
        <w:lastRenderedPageBreak/>
        <w:t>Điều 3. Trách nhiệm thi hành</w:t>
      </w:r>
      <w:bookmarkEnd w:id="0"/>
    </w:p>
    <w:p w:rsidR="007638D5" w:rsidRDefault="009E3F96">
      <w:pPr>
        <w:pStyle w:val="Heading30"/>
        <w:keepNext/>
        <w:keepLines/>
        <w:shd w:val="clear" w:color="auto" w:fill="auto"/>
        <w:spacing w:before="0" w:after="312"/>
        <w:ind w:right="740"/>
      </w:pPr>
      <w:bookmarkStart w:id="1" w:name="bookmark2"/>
      <w:r>
        <w:t xml:space="preserve">Các Bộ trưởng, Thủ trưởng cơ quan ngang bộ, Thủ trưởng cơ quan thuộc </w:t>
      </w:r>
      <w:r>
        <w:t>Chính phủ, Chủ tịch ủy ban nhân dân các tỉnh, thành phố trực thuộc trung ương chịu trách nhiệm thi hành Nghị định này./.</w:t>
      </w:r>
      <w:bookmarkEnd w:id="1"/>
    </w:p>
    <w:p w:rsidR="007638D5" w:rsidRDefault="009E3F96">
      <w:pPr>
        <w:pStyle w:val="Bodytext100"/>
        <w:shd w:val="clear" w:color="auto" w:fill="auto"/>
        <w:spacing w:before="0"/>
        <w:ind w:left="2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34.1pt;margin-top:1pt;width:202.55pt;height:227.05pt;z-index:-125829372;mso-wrap-distance-left:7pt;mso-wrap-distance-right:5pt;mso-position-horizontal-relative:margin" wrapcoords="0 0 21600 0 21600 21600 0 21600 0 0">
            <v:imagedata r:id="rId8" o:title="image1"/>
            <w10:wrap type="square" side="left" anchorx="margin"/>
          </v:shape>
        </w:pict>
      </w:r>
      <w:r>
        <w:t>Nơi nhận: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1"/>
        </w:tabs>
        <w:ind w:left="200"/>
      </w:pPr>
      <w:r>
        <w:t>Ban Bí thư Trung ưong Đảng;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1"/>
        </w:tabs>
        <w:ind w:left="200"/>
      </w:pPr>
      <w:r>
        <w:t>Thủ tuông, các Phó Thủ tướng Chính phủ;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1"/>
        </w:tabs>
        <w:ind w:left="200"/>
      </w:pPr>
      <w:r>
        <w:t>Các bộ, cơ quan ngang bộ, cơ quan thuộc Chính phủ;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1"/>
        </w:tabs>
        <w:ind w:left="200"/>
      </w:pPr>
      <w:r>
        <w:t>HĐND,</w:t>
      </w:r>
      <w:r>
        <w:t xml:space="preserve"> tXBND các tỉnh, thành phố ữực thuộc trung ương;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1"/>
        </w:tabs>
        <w:ind w:left="200"/>
      </w:pPr>
      <w:r>
        <w:t>Văn phòng Trung ương và các Ban của Đảng;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1"/>
        </w:tabs>
        <w:ind w:left="200"/>
      </w:pPr>
      <w:r>
        <w:t>Văn phòng Tổng Bí thư;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1"/>
        </w:tabs>
        <w:ind w:left="200"/>
      </w:pPr>
      <w:r>
        <w:t>Văn phòng Chủ tịch nước;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1"/>
        </w:tabs>
        <w:ind w:left="200"/>
      </w:pPr>
      <w:r>
        <w:t>Vãn phòng Quốc hội;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1"/>
        </w:tabs>
        <w:ind w:left="200"/>
      </w:pPr>
      <w:r>
        <w:t>Hội đồng dân tộc và các ủy ban của Quốc hội; ■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1"/>
        </w:tabs>
        <w:ind w:left="200"/>
      </w:pPr>
      <w:r>
        <w:t>Viện kiểm sát nhân dân tối cao;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1"/>
        </w:tabs>
        <w:ind w:left="200"/>
      </w:pPr>
      <w:r>
        <w:t>Toà án nhân dân tố</w:t>
      </w:r>
      <w:r>
        <w:t>i cạo;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1"/>
        </w:tabs>
        <w:ind w:left="200"/>
      </w:pPr>
      <w:r>
        <w:t>ủy ban Giám sát tài chính Quốc gia;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7"/>
        </w:tabs>
        <w:ind w:left="200"/>
      </w:pPr>
      <w:r>
        <w:t>Kiểm toán nhà nước;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7"/>
          <w:tab w:val="left" w:pos="3870"/>
        </w:tabs>
        <w:ind w:left="200"/>
      </w:pPr>
      <w:r>
        <w:t>Ngân hàng Chính, sạch Xã hội; ...</w:t>
      </w:r>
      <w:r>
        <w:tab/>
        <w:t>.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7"/>
        </w:tabs>
        <w:ind w:left="200"/>
      </w:pPr>
      <w:r>
        <w:t>Ngân hàng Phát triển Việt Nam;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7"/>
        </w:tabs>
        <w:ind w:left="200"/>
      </w:pPr>
      <w:r>
        <w:t>Ưỷ ban ừung ương Mặt trận Tổ quốc Việt Nam;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7"/>
        </w:tabs>
        <w:ind w:left="200"/>
      </w:pPr>
      <w:r>
        <w:t>Cơ quan trung ương của các đoàn thể;</w:t>
      </w:r>
    </w:p>
    <w:p w:rsidR="007638D5" w:rsidRDefault="009E3F96">
      <w:pPr>
        <w:pStyle w:val="Bodytext20"/>
        <w:numPr>
          <w:ilvl w:val="0"/>
          <w:numId w:val="1"/>
        </w:numPr>
        <w:shd w:val="clear" w:color="auto" w:fill="auto"/>
        <w:tabs>
          <w:tab w:val="left" w:pos="257"/>
        </w:tabs>
        <w:ind w:left="200"/>
      </w:pPr>
      <w:r>
        <w:t xml:space="preserve">VPCP: BTCN, các PCN, Trợ lý TTg, TGĐ cổng </w:t>
      </w:r>
      <w:r>
        <w:t>TTĐT, cẩc Vụ, Cục, đon vị trực thuộc, Công báo;</w:t>
      </w:r>
    </w:p>
    <w:p w:rsidR="007638D5" w:rsidRDefault="001A2608">
      <w:pPr>
        <w:pStyle w:val="Bodytext20"/>
        <w:numPr>
          <w:ilvl w:val="0"/>
          <w:numId w:val="1"/>
        </w:numPr>
        <w:shd w:val="clear" w:color="auto" w:fill="auto"/>
        <w:tabs>
          <w:tab w:val="left" w:pos="257"/>
        </w:tabs>
        <w:ind w:left="200"/>
      </w:pPr>
      <w:r>
        <w:t>Lưu: VT, NN (2)</w:t>
      </w:r>
      <w:bookmarkStart w:id="2" w:name="_GoBack"/>
      <w:bookmarkEnd w:id="2"/>
    </w:p>
    <w:sectPr w:rsidR="007638D5">
      <w:type w:val="continuous"/>
      <w:pgSz w:w="12240" w:h="15840"/>
      <w:pgMar w:top="77" w:right="1048" w:bottom="1730" w:left="24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96" w:rsidRDefault="009E3F96">
      <w:r>
        <w:separator/>
      </w:r>
    </w:p>
  </w:endnote>
  <w:endnote w:type="continuationSeparator" w:id="0">
    <w:p w:rsidR="009E3F96" w:rsidRDefault="009E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96" w:rsidRDefault="009E3F96"/>
  </w:footnote>
  <w:footnote w:type="continuationSeparator" w:id="0">
    <w:p w:rsidR="009E3F96" w:rsidRDefault="009E3F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21D2"/>
    <w:multiLevelType w:val="multilevel"/>
    <w:tmpl w:val="5B646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38D5"/>
    <w:rsid w:val="001527BE"/>
    <w:rsid w:val="001A2608"/>
    <w:rsid w:val="003612E1"/>
    <w:rsid w:val="007638D5"/>
    <w:rsid w:val="009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Exact">
    <w:name w:val="Body text (4) Exact"/>
    <w:basedOn w:val="DefaultParagraphFont"/>
    <w:link w:val="Bodytext4"/>
    <w:rPr>
      <w:b w:val="0"/>
      <w:bCs w:val="0"/>
      <w:i w:val="0"/>
      <w:iCs w:val="0"/>
      <w:smallCaps w:val="0"/>
      <w:strike w:val="0"/>
      <w:sz w:val="128"/>
      <w:szCs w:val="128"/>
      <w:u w:val="none"/>
    </w:rPr>
  </w:style>
  <w:style w:type="character" w:customStyle="1" w:styleId="Bodytext4Exact0">
    <w:name w:val="Body text (4) Exact"/>
    <w:basedOn w:val="Bodytext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1574D"/>
      <w:spacing w:val="0"/>
      <w:w w:val="100"/>
      <w:position w:val="0"/>
      <w:sz w:val="128"/>
      <w:szCs w:val="128"/>
      <w:u w:val="none"/>
      <w:lang w:val="vi-VN" w:eastAsia="vi-VN" w:bidi="vi-VN"/>
    </w:rPr>
  </w:style>
  <w:style w:type="character" w:customStyle="1" w:styleId="Bodytext5Exact">
    <w:name w:val="Body text (5) Exact"/>
    <w:basedOn w:val="DefaultParagraphFont"/>
    <w:link w:val="Bodytext5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SmallCapsExact">
    <w:name w:val="Body text (5) + Small Caps Exact"/>
    <w:basedOn w:val="Bodytext5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Exact">
    <w:name w:val="Body text (6) Exact"/>
    <w:basedOn w:val="DefaultParagraphFont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Exact">
    <w:name w:val="Body text (8) Exact"/>
    <w:basedOn w:val="DefaultParagraphFont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9Exact">
    <w:name w:val="Body text (9) Exact"/>
    <w:basedOn w:val="DefaultParagraphFont"/>
    <w:link w:val="Bodytext9"/>
    <w:rPr>
      <w:b w:val="0"/>
      <w:bCs w:val="0"/>
      <w:i w:val="0"/>
      <w:iCs w:val="0"/>
      <w:smallCaps w:val="0"/>
      <w:strike w:val="0"/>
      <w:w w:val="60"/>
      <w:sz w:val="16"/>
      <w:szCs w:val="16"/>
      <w:u w:val="none"/>
    </w:rPr>
  </w:style>
  <w:style w:type="character" w:customStyle="1" w:styleId="Heading1">
    <w:name w:val="Heading #1_"/>
    <w:basedOn w:val="DefaultParagraphFont"/>
    <w:link w:val="Heading10"/>
    <w:rPr>
      <w:b w:val="0"/>
      <w:bCs w:val="0"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12pt">
    <w:name w:val="Body text (6) + 12 pt"/>
    <w:aliases w:val="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Pr>
      <w:b w:val="0"/>
      <w:bCs w:val="0"/>
      <w:i/>
      <w:iCs/>
      <w:smallCaps w:val="0"/>
      <w:strike w:val="0"/>
      <w:u w:val="none"/>
    </w:rPr>
  </w:style>
  <w:style w:type="character" w:customStyle="1" w:styleId="Bodytext8">
    <w:name w:val="Body text (8)_"/>
    <w:basedOn w:val="DefaultParagraphFont"/>
    <w:link w:val="Bodytext8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efaultParagraphFont"/>
    <w:link w:val="Heading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10">
    <w:name w:val="Body text (10)_"/>
    <w:basedOn w:val="DefaultParagraphFont"/>
    <w:link w:val="Bodytext10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1418" w:lineRule="exact"/>
    </w:pPr>
    <w:rPr>
      <w:sz w:val="128"/>
      <w:szCs w:val="128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159" w:lineRule="exact"/>
    </w:pPr>
    <w:rPr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80" w:after="280" w:line="273" w:lineRule="exact"/>
      <w:ind w:hanging="540"/>
    </w:pPr>
    <w:rPr>
      <w:b/>
      <w:bCs/>
      <w:sz w:val="22"/>
      <w:szCs w:val="22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180" w:after="180" w:line="266" w:lineRule="exact"/>
      <w:jc w:val="both"/>
    </w:p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before="80" w:line="178" w:lineRule="exact"/>
    </w:pPr>
    <w:rPr>
      <w:w w:val="60"/>
      <w:sz w:val="16"/>
      <w:szCs w:val="1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266" w:lineRule="exact"/>
      <w:jc w:val="right"/>
      <w:outlineLvl w:val="0"/>
    </w:pPr>
    <w:rPr>
      <w:i/>
      <w:iCs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280" w:after="420" w:line="266" w:lineRule="exact"/>
    </w:pPr>
    <w:rPr>
      <w:i/>
      <w:iCs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20" w:line="244" w:lineRule="exact"/>
      <w:ind w:firstLine="720"/>
      <w:jc w:val="both"/>
      <w:outlineLvl w:val="1"/>
    </w:pPr>
    <w:rPr>
      <w:b/>
      <w:bCs/>
      <w:sz w:val="22"/>
      <w:szCs w:val="22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220" w:after="220" w:line="330" w:lineRule="exact"/>
      <w:ind w:firstLine="720"/>
      <w:jc w:val="both"/>
      <w:outlineLvl w:val="2"/>
    </w:p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before="220" w:line="216" w:lineRule="exact"/>
      <w:ind w:hanging="200"/>
    </w:pPr>
    <w:rPr>
      <w:i/>
      <w:i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16" w:lineRule="exact"/>
      <w:ind w:hanging="2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18577-42AC-48E6-83F6-AF9A63DBF9AA}"/>
</file>

<file path=customXml/itemProps2.xml><?xml version="1.0" encoding="utf-8"?>
<ds:datastoreItem xmlns:ds="http://schemas.openxmlformats.org/officeDocument/2006/customXml" ds:itemID="{87F1F3E7-A3A9-4329-B83C-F54676D94C52}"/>
</file>

<file path=customXml/itemProps3.xml><?xml version="1.0" encoding="utf-8"?>
<ds:datastoreItem xmlns:ds="http://schemas.openxmlformats.org/officeDocument/2006/customXml" ds:itemID="{EE8665B8-C465-4740-ACF7-F124AE46B2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Dinh Phuong Minh</cp:lastModifiedBy>
  <cp:revision>4</cp:revision>
  <dcterms:created xsi:type="dcterms:W3CDTF">2017-08-30T09:21:00Z</dcterms:created>
  <dcterms:modified xsi:type="dcterms:W3CDTF">2017-08-30T09:44:00Z</dcterms:modified>
</cp:coreProperties>
</file>