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CellSpacing w:w="0" w:type="dxa"/>
        <w:tblInd w:w="-162" w:type="dxa"/>
        <w:shd w:val="clear" w:color="auto" w:fill="FFFFFF"/>
        <w:tblCellMar>
          <w:left w:w="0" w:type="dxa"/>
          <w:right w:w="0" w:type="dxa"/>
        </w:tblCellMar>
        <w:tblLook w:val="04A0" w:firstRow="1" w:lastRow="0" w:firstColumn="1" w:lastColumn="0" w:noHBand="0" w:noVBand="1"/>
      </w:tblPr>
      <w:tblGrid>
        <w:gridCol w:w="3510"/>
        <w:gridCol w:w="6300"/>
      </w:tblGrid>
      <w:tr w:rsidR="00B41579" w:rsidTr="00B41579">
        <w:trPr>
          <w:tblCellSpacing w:w="0" w:type="dxa"/>
        </w:trPr>
        <w:tc>
          <w:tcPr>
            <w:tcW w:w="3510" w:type="dxa"/>
            <w:shd w:val="clear" w:color="auto" w:fill="FFFFFF"/>
            <w:tcMar>
              <w:top w:w="0" w:type="dxa"/>
              <w:left w:w="108" w:type="dxa"/>
              <w:bottom w:w="0" w:type="dxa"/>
              <w:right w:w="108" w:type="dxa"/>
            </w:tcMar>
            <w:hideMark/>
          </w:tcPr>
          <w:p w:rsidR="00B41579" w:rsidRDefault="00B41579">
            <w:pPr>
              <w:pStyle w:val="NormalWeb"/>
              <w:spacing w:before="0" w:beforeAutospacing="0" w:after="0" w:afterAutospacing="0" w:line="234" w:lineRule="atLeast"/>
              <w:jc w:val="center"/>
              <w:rPr>
                <w:b/>
                <w:bCs/>
                <w:color w:val="000000"/>
                <w:sz w:val="27"/>
                <w:szCs w:val="27"/>
              </w:rPr>
            </w:pPr>
            <w:r>
              <w:rPr>
                <w:noProof/>
              </w:rPr>
              <mc:AlternateContent>
                <mc:Choice Requires="wps">
                  <w:drawing>
                    <wp:anchor distT="0" distB="0" distL="114300" distR="114300" simplePos="0" relativeHeight="251658240" behindDoc="0" locked="0" layoutInCell="1" allowOverlap="1">
                      <wp:simplePos x="0" y="0"/>
                      <wp:positionH relativeFrom="column">
                        <wp:posOffset>461010</wp:posOffset>
                      </wp:positionH>
                      <wp:positionV relativeFrom="paragraph">
                        <wp:posOffset>502920</wp:posOffset>
                      </wp:positionV>
                      <wp:extent cx="1069340" cy="0"/>
                      <wp:effectExtent l="13335" t="7620" r="1270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39.6pt" to="120.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co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dZOltMc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"/>
                  </w:pict>
                </mc:Fallback>
              </mc:AlternateContent>
            </w:r>
            <w:r>
              <w:rPr>
                <w:b/>
                <w:bCs/>
                <w:color w:val="000000"/>
                <w:sz w:val="27"/>
                <w:szCs w:val="27"/>
              </w:rPr>
              <w:t>HỘI ĐỒNG NHÂN DÂN</w:t>
            </w:r>
            <w:r>
              <w:rPr>
                <w:b/>
                <w:bCs/>
                <w:color w:val="000000"/>
                <w:sz w:val="27"/>
                <w:szCs w:val="27"/>
              </w:rPr>
              <w:br/>
              <w:t>TỈNH BẮC NINH</w:t>
            </w:r>
            <w:r>
              <w:rPr>
                <w:b/>
                <w:bCs/>
                <w:color w:val="000000"/>
                <w:sz w:val="27"/>
                <w:szCs w:val="27"/>
              </w:rPr>
              <w:br/>
            </w:r>
          </w:p>
        </w:tc>
        <w:tc>
          <w:tcPr>
            <w:tcW w:w="6300" w:type="dxa"/>
            <w:shd w:val="clear" w:color="auto" w:fill="FFFFFF"/>
            <w:tcMar>
              <w:top w:w="0" w:type="dxa"/>
              <w:left w:w="108" w:type="dxa"/>
              <w:bottom w:w="0" w:type="dxa"/>
              <w:right w:w="108" w:type="dxa"/>
            </w:tcMar>
            <w:hideMark/>
          </w:tcPr>
          <w:p w:rsidR="00B41579" w:rsidRDefault="00B41579">
            <w:pPr>
              <w:pStyle w:val="NormalWeb"/>
              <w:spacing w:before="0" w:beforeAutospacing="0" w:after="0" w:afterAutospacing="0" w:line="234" w:lineRule="atLeast"/>
              <w:jc w:val="center"/>
              <w:rPr>
                <w:color w:val="000000"/>
                <w:sz w:val="27"/>
                <w:szCs w:val="27"/>
              </w:rPr>
            </w:pPr>
            <w:r>
              <w:rPr>
                <w:noProof/>
              </w:rPr>
              <mc:AlternateContent>
                <mc:Choice Requires="wps">
                  <w:drawing>
                    <wp:anchor distT="0" distB="0" distL="114300" distR="114300" simplePos="0" relativeHeight="251658240" behindDoc="0" locked="0" layoutInCell="1" allowOverlap="1">
                      <wp:simplePos x="0" y="0"/>
                      <wp:positionH relativeFrom="column">
                        <wp:posOffset>1049655</wp:posOffset>
                      </wp:positionH>
                      <wp:positionV relativeFrom="paragraph">
                        <wp:posOffset>512445</wp:posOffset>
                      </wp:positionV>
                      <wp:extent cx="1745615" cy="0"/>
                      <wp:effectExtent l="11430" t="7620" r="508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40.35pt" to="220.1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ZHQIAADY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"/>
                  </w:pict>
                </mc:Fallback>
              </mc:AlternateContent>
            </w:r>
            <w:r>
              <w:rPr>
                <w:b/>
                <w:bCs/>
                <w:color w:val="000000"/>
                <w:sz w:val="27"/>
                <w:szCs w:val="27"/>
              </w:rPr>
              <w:t xml:space="preserve">CỘNG HÒA XÃ HỘI CHỦ NGHĨA VIỆT </w:t>
            </w:r>
            <w:smartTag w:uri="urn:schemas-microsoft-com:office:smarttags" w:element="place">
              <w:smartTag w:uri="urn:schemas-microsoft-com:office:smarttags" w:element="country-region">
                <w:r>
                  <w:rPr>
                    <w:b/>
                    <w:bCs/>
                    <w:color w:val="000000"/>
                    <w:sz w:val="27"/>
                    <w:szCs w:val="27"/>
                  </w:rPr>
                  <w:t>NAM</w:t>
                </w:r>
              </w:smartTag>
            </w:smartTag>
            <w:r>
              <w:rPr>
                <w:b/>
                <w:bCs/>
                <w:color w:val="000000"/>
                <w:sz w:val="27"/>
                <w:szCs w:val="27"/>
              </w:rPr>
              <w:br/>
              <w:t>Độc lập - Tự do - Hạnh phúc</w:t>
            </w:r>
            <w:r>
              <w:rPr>
                <w:b/>
                <w:bCs/>
                <w:color w:val="000000"/>
                <w:sz w:val="27"/>
                <w:szCs w:val="27"/>
              </w:rPr>
              <w:br/>
            </w:r>
          </w:p>
        </w:tc>
      </w:tr>
      <w:tr w:rsidR="00B41579" w:rsidTr="00B41579">
        <w:trPr>
          <w:tblCellSpacing w:w="0" w:type="dxa"/>
        </w:trPr>
        <w:tc>
          <w:tcPr>
            <w:tcW w:w="3510" w:type="dxa"/>
            <w:shd w:val="clear" w:color="auto" w:fill="FFFFFF"/>
            <w:tcMar>
              <w:top w:w="0" w:type="dxa"/>
              <w:left w:w="108" w:type="dxa"/>
              <w:bottom w:w="0" w:type="dxa"/>
              <w:right w:w="108" w:type="dxa"/>
            </w:tcMar>
            <w:hideMark/>
          </w:tcPr>
          <w:p w:rsidR="00B41579" w:rsidRDefault="00B41579">
            <w:pPr>
              <w:pStyle w:val="NormalWeb"/>
              <w:spacing w:before="120" w:beforeAutospacing="0" w:after="0" w:afterAutospacing="0" w:line="234" w:lineRule="atLeast"/>
              <w:jc w:val="center"/>
              <w:rPr>
                <w:color w:val="000000"/>
                <w:sz w:val="27"/>
                <w:szCs w:val="27"/>
              </w:rPr>
            </w:pPr>
            <w:r>
              <w:rPr>
                <w:color w:val="000000"/>
                <w:sz w:val="27"/>
                <w:szCs w:val="27"/>
              </w:rPr>
              <w:t>Số: 156/2018/NQ-HĐND</w:t>
            </w:r>
          </w:p>
        </w:tc>
        <w:tc>
          <w:tcPr>
            <w:tcW w:w="6300" w:type="dxa"/>
            <w:shd w:val="clear" w:color="auto" w:fill="FFFFFF"/>
            <w:tcMar>
              <w:top w:w="0" w:type="dxa"/>
              <w:left w:w="108" w:type="dxa"/>
              <w:bottom w:w="0" w:type="dxa"/>
              <w:right w:w="108" w:type="dxa"/>
            </w:tcMar>
            <w:hideMark/>
          </w:tcPr>
          <w:p w:rsidR="00B41579" w:rsidRDefault="00B41579">
            <w:pPr>
              <w:pStyle w:val="NormalWeb"/>
              <w:spacing w:before="120" w:beforeAutospacing="0" w:after="0" w:afterAutospacing="0" w:line="234" w:lineRule="atLeast"/>
              <w:jc w:val="center"/>
              <w:rPr>
                <w:color w:val="000000"/>
                <w:sz w:val="28"/>
                <w:szCs w:val="28"/>
              </w:rPr>
            </w:pPr>
            <w:r>
              <w:rPr>
                <w:i/>
                <w:iCs/>
                <w:color w:val="000000"/>
                <w:sz w:val="28"/>
                <w:szCs w:val="28"/>
              </w:rPr>
              <w:t>Bắc Ninh, ngày 06 tháng 12 năm 2018</w:t>
            </w:r>
          </w:p>
        </w:tc>
      </w:tr>
    </w:tbl>
    <w:p w:rsidR="00B41579" w:rsidRDefault="00B41579" w:rsidP="00B41579">
      <w:pPr>
        <w:pStyle w:val="NormalWeb"/>
        <w:shd w:val="clear" w:color="auto" w:fill="FFFFFF"/>
        <w:spacing w:before="120" w:beforeAutospacing="0" w:after="120" w:afterAutospacing="0" w:line="320" w:lineRule="atLeast"/>
        <w:jc w:val="both"/>
        <w:rPr>
          <w:b/>
          <w:bCs/>
          <w:color w:val="000000"/>
          <w:sz w:val="28"/>
          <w:szCs w:val="28"/>
        </w:rPr>
      </w:pPr>
      <w:r>
        <w:rPr>
          <w:color w:val="000000"/>
          <w:sz w:val="27"/>
          <w:szCs w:val="27"/>
          <w:lang w:val="vi-VN"/>
        </w:rPr>
        <w:t> </w:t>
      </w:r>
      <w:bookmarkStart w:id="0" w:name="loai_1"/>
    </w:p>
    <w:p w:rsidR="00B41579" w:rsidRDefault="00B41579" w:rsidP="00B41579">
      <w:pPr>
        <w:pStyle w:val="NormalWeb"/>
        <w:shd w:val="clear" w:color="auto" w:fill="FFFFFF"/>
        <w:spacing w:before="120" w:beforeAutospacing="0" w:after="120" w:afterAutospacing="0" w:line="320" w:lineRule="atLeast"/>
        <w:jc w:val="center"/>
        <w:rPr>
          <w:b/>
          <w:bCs/>
          <w:color w:val="000000"/>
          <w:sz w:val="28"/>
          <w:szCs w:val="28"/>
        </w:rPr>
      </w:pPr>
      <w:r>
        <w:rPr>
          <w:b/>
          <w:bCs/>
          <w:color w:val="000000"/>
          <w:sz w:val="28"/>
          <w:szCs w:val="28"/>
        </w:rPr>
        <w:t xml:space="preserve">NGHỊ </w:t>
      </w:r>
      <w:r>
        <w:rPr>
          <w:b/>
          <w:bCs/>
          <w:color w:val="000000"/>
          <w:sz w:val="28"/>
          <w:szCs w:val="28"/>
          <w:lang w:val="vi-VN"/>
        </w:rPr>
        <w:t xml:space="preserve">QUYẾT </w:t>
      </w:r>
      <w:bookmarkEnd w:id="0"/>
    </w:p>
    <w:p w:rsidR="00B41579" w:rsidRDefault="00B41579" w:rsidP="00B41579">
      <w:pPr>
        <w:spacing w:line="360" w:lineRule="exact"/>
        <w:jc w:val="center"/>
        <w:rPr>
          <w:b/>
          <w:sz w:val="28"/>
          <w:szCs w:val="28"/>
          <w:lang w:val="nl-NL"/>
        </w:rPr>
      </w:pPr>
      <w:r>
        <w:rPr>
          <w:b/>
          <w:sz w:val="28"/>
          <w:szCs w:val="28"/>
        </w:rPr>
        <w:t>V/v Q</w:t>
      </w:r>
      <w:r>
        <w:rPr>
          <w:b/>
          <w:sz w:val="28"/>
          <w:szCs w:val="28"/>
          <w:lang w:val="nl-NL"/>
        </w:rPr>
        <w:t xml:space="preserve">uy định mức phân bổ kinh phí cho công tác xây dựng văn bản </w:t>
      </w:r>
    </w:p>
    <w:p w:rsidR="00B41579" w:rsidRDefault="00B41579" w:rsidP="00B41579">
      <w:pPr>
        <w:spacing w:line="360" w:lineRule="exact"/>
        <w:jc w:val="center"/>
        <w:rPr>
          <w:b/>
          <w:sz w:val="28"/>
          <w:szCs w:val="28"/>
          <w:lang w:val="nl-NL"/>
        </w:rPr>
      </w:pPr>
      <w:r>
        <w:rPr>
          <w:b/>
          <w:sz w:val="28"/>
          <w:szCs w:val="28"/>
          <w:lang w:val="nl-NL"/>
        </w:rPr>
        <w:t>quy phạm pháp luật và hoàn thiện hệ thống pháp luật trên địa bàn tỉnh</w:t>
      </w:r>
    </w:p>
    <w:p w:rsidR="00B41579" w:rsidRDefault="00B41579" w:rsidP="00B41579">
      <w:pPr>
        <w:spacing w:line="360" w:lineRule="exact"/>
        <w:jc w:val="center"/>
        <w:rPr>
          <w:b/>
          <w:sz w:val="28"/>
          <w:szCs w:val="28"/>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2387600</wp:posOffset>
                </wp:positionH>
                <wp:positionV relativeFrom="paragraph">
                  <wp:posOffset>55245</wp:posOffset>
                </wp:positionV>
                <wp:extent cx="1188085" cy="0"/>
                <wp:effectExtent l="6350"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4.35pt" to="281.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"/>
            </w:pict>
          </mc:Fallback>
        </mc:AlternateContent>
      </w:r>
    </w:p>
    <w:p w:rsidR="00B41579" w:rsidRDefault="00B41579" w:rsidP="00B41579">
      <w:pPr>
        <w:spacing w:line="340" w:lineRule="exact"/>
        <w:jc w:val="center"/>
        <w:rPr>
          <w:b/>
          <w:bCs/>
          <w:color w:val="000000"/>
          <w:sz w:val="28"/>
          <w:szCs w:val="28"/>
          <w:lang w:val="nl-NL"/>
        </w:rPr>
      </w:pPr>
    </w:p>
    <w:p w:rsidR="00B41579" w:rsidRDefault="00B41579" w:rsidP="00B41579">
      <w:pPr>
        <w:spacing w:line="340" w:lineRule="exact"/>
        <w:jc w:val="center"/>
        <w:rPr>
          <w:b/>
          <w:bCs/>
          <w:color w:val="000000"/>
          <w:sz w:val="28"/>
          <w:szCs w:val="28"/>
          <w:lang w:val="nl-NL"/>
        </w:rPr>
      </w:pPr>
      <w:r>
        <w:rPr>
          <w:b/>
          <w:bCs/>
          <w:color w:val="000000"/>
          <w:sz w:val="28"/>
          <w:szCs w:val="28"/>
          <w:lang w:val="nl-NL"/>
        </w:rPr>
        <w:t xml:space="preserve">HỘI ĐỒNG NHÂN DÂN TỈNH BẮC NINH  </w:t>
      </w:r>
    </w:p>
    <w:p w:rsidR="00B41579" w:rsidRDefault="00B41579" w:rsidP="00B41579">
      <w:pPr>
        <w:spacing w:line="340" w:lineRule="exact"/>
        <w:jc w:val="center"/>
        <w:rPr>
          <w:b/>
          <w:bCs/>
          <w:color w:val="000000"/>
          <w:sz w:val="28"/>
          <w:szCs w:val="28"/>
          <w:lang w:val="nl-NL"/>
        </w:rPr>
      </w:pPr>
      <w:r>
        <w:rPr>
          <w:b/>
          <w:bCs/>
          <w:color w:val="000000"/>
          <w:sz w:val="28"/>
          <w:szCs w:val="28"/>
          <w:lang w:val="nl-NL"/>
        </w:rPr>
        <w:t>KHOÁ XVIII, KỲ HỌP THỨ MƯỜI</w:t>
      </w:r>
    </w:p>
    <w:p w:rsidR="00B41579" w:rsidRDefault="00B41579" w:rsidP="00B41579">
      <w:pPr>
        <w:spacing w:before="120" w:after="120" w:line="340" w:lineRule="exact"/>
        <w:jc w:val="center"/>
        <w:rPr>
          <w:color w:val="000000"/>
          <w:sz w:val="28"/>
          <w:szCs w:val="28"/>
          <w:lang w:val="nl-NL"/>
        </w:rPr>
      </w:pPr>
    </w:p>
    <w:p w:rsidR="00B41579" w:rsidRDefault="00B41579" w:rsidP="00B41579">
      <w:pPr>
        <w:pStyle w:val="NormalWeb"/>
        <w:shd w:val="clear" w:color="auto" w:fill="FFFFFF"/>
        <w:spacing w:before="120" w:beforeAutospacing="0" w:after="0" w:afterAutospacing="0" w:line="340" w:lineRule="exact"/>
        <w:ind w:firstLine="720"/>
        <w:jc w:val="both"/>
        <w:rPr>
          <w:i/>
          <w:iCs/>
          <w:color w:val="000000"/>
          <w:sz w:val="28"/>
          <w:szCs w:val="28"/>
          <w:lang w:val="nl-NL"/>
        </w:rPr>
      </w:pPr>
      <w:r>
        <w:rPr>
          <w:i/>
          <w:iCs/>
          <w:color w:val="000000"/>
          <w:sz w:val="28"/>
          <w:szCs w:val="28"/>
          <w:lang w:val="vi-VN"/>
        </w:rPr>
        <w:t xml:space="preserve">Căn cứ Luật Tổ chức chính quyền địa phương </w:t>
      </w:r>
      <w:r>
        <w:rPr>
          <w:i/>
          <w:iCs/>
          <w:color w:val="000000"/>
          <w:sz w:val="28"/>
          <w:szCs w:val="28"/>
          <w:lang w:val="nl-NL"/>
        </w:rPr>
        <w:t xml:space="preserve">năm </w:t>
      </w:r>
      <w:r>
        <w:rPr>
          <w:i/>
          <w:iCs/>
          <w:color w:val="000000"/>
          <w:sz w:val="28"/>
          <w:szCs w:val="28"/>
          <w:lang w:val="vi-VN"/>
        </w:rPr>
        <w:t xml:space="preserve">2015; </w:t>
      </w:r>
    </w:p>
    <w:p w:rsidR="00B41579" w:rsidRDefault="00B41579" w:rsidP="00B41579">
      <w:pPr>
        <w:pStyle w:val="NormalWeb"/>
        <w:shd w:val="clear" w:color="auto" w:fill="FFFFFF"/>
        <w:spacing w:before="120" w:beforeAutospacing="0" w:after="0" w:afterAutospacing="0" w:line="340" w:lineRule="exact"/>
        <w:ind w:firstLine="720"/>
        <w:jc w:val="both"/>
        <w:rPr>
          <w:i/>
          <w:iCs/>
          <w:color w:val="000000"/>
          <w:sz w:val="28"/>
          <w:szCs w:val="28"/>
          <w:lang w:val="nl-NL"/>
        </w:rPr>
      </w:pPr>
      <w:r>
        <w:rPr>
          <w:i/>
          <w:iCs/>
          <w:color w:val="000000"/>
          <w:sz w:val="28"/>
          <w:szCs w:val="28"/>
          <w:lang w:val="nl-NL"/>
        </w:rPr>
        <w:t>Căn cứ Luật Ban hành văn bản quy phạm pháp luật năm 2015;</w:t>
      </w:r>
    </w:p>
    <w:p w:rsidR="00B41579" w:rsidRDefault="00B41579" w:rsidP="00B41579">
      <w:pPr>
        <w:spacing w:before="120" w:line="340" w:lineRule="exact"/>
        <w:ind w:firstLine="720"/>
        <w:jc w:val="both"/>
        <w:rPr>
          <w:i/>
          <w:sz w:val="28"/>
          <w:szCs w:val="28"/>
          <w:lang w:val="nl-NL"/>
        </w:rPr>
      </w:pPr>
      <w:r>
        <w:rPr>
          <w:i/>
          <w:sz w:val="28"/>
          <w:szCs w:val="28"/>
          <w:lang w:val="nl-NL"/>
        </w:rPr>
        <w:t>Căn cứ Thông tư số 338/2016/TT-BTC ngày 28/12/2016 của Bộ Tài chính quy định lập dự toán, quản lý, sử dụng và quyết toán kinh phí ngân sách nhà nước đảm bảo cho công tác xây dựng văn bản quy phạm pháp luật và hoàn thiện hệ thống pháp luật;</w:t>
      </w:r>
    </w:p>
    <w:p w:rsidR="00B41579" w:rsidRDefault="00B41579" w:rsidP="00B41579">
      <w:pPr>
        <w:spacing w:before="120" w:line="340" w:lineRule="exact"/>
        <w:ind w:firstLine="720"/>
        <w:jc w:val="both"/>
        <w:rPr>
          <w:i/>
          <w:sz w:val="28"/>
          <w:szCs w:val="28"/>
          <w:lang w:val="nl-NL"/>
        </w:rPr>
      </w:pPr>
      <w:r>
        <w:rPr>
          <w:i/>
          <w:iCs/>
          <w:color w:val="000000"/>
          <w:sz w:val="28"/>
          <w:szCs w:val="28"/>
          <w:lang w:val="nl-NL"/>
        </w:rPr>
        <w:t xml:space="preserve"> Xét Tờ trình số 443/TTr-UBND ngày 23/11/2018 của Ủy ban nhân dân tỉnh </w:t>
      </w:r>
      <w:r>
        <w:rPr>
          <w:i/>
          <w:iCs/>
          <w:color w:val="000000"/>
          <w:sz w:val="28"/>
          <w:szCs w:val="28"/>
          <w:lang w:val="vi-VN"/>
        </w:rPr>
        <w:t>về việc</w:t>
      </w:r>
      <w:r>
        <w:rPr>
          <w:i/>
          <w:sz w:val="28"/>
          <w:szCs w:val="28"/>
          <w:lang w:val="nl-NL"/>
        </w:rPr>
        <w:t xml:space="preserve"> quy định mức chi cho công tác xây dựng văn bản quy phạm pháp luật và hoàn thiện hệ thống pháp luật trên địa bàn tỉnh Bắc Ninh</w:t>
      </w:r>
      <w:r>
        <w:rPr>
          <w:i/>
          <w:iCs/>
          <w:color w:val="000000"/>
          <w:sz w:val="28"/>
          <w:szCs w:val="28"/>
          <w:lang w:val="vi-VN"/>
        </w:rPr>
        <w:t>;</w:t>
      </w:r>
      <w:r>
        <w:rPr>
          <w:i/>
          <w:iCs/>
          <w:color w:val="000000"/>
          <w:sz w:val="28"/>
          <w:szCs w:val="28"/>
          <w:lang w:val="nl-NL"/>
        </w:rPr>
        <w:t xml:space="preserve"> báo cáo thẩm tra của Ban kinh tế - ngân sách và ý kiến thảo luận của đại biểu.</w:t>
      </w:r>
    </w:p>
    <w:p w:rsidR="00B41579" w:rsidRDefault="00B41579" w:rsidP="00B41579">
      <w:pPr>
        <w:pStyle w:val="NormalWeb"/>
        <w:shd w:val="clear" w:color="auto" w:fill="FFFFFF"/>
        <w:spacing w:before="360" w:beforeAutospacing="0" w:after="240" w:afterAutospacing="0" w:line="320" w:lineRule="atLeast"/>
        <w:jc w:val="center"/>
        <w:rPr>
          <w:b/>
          <w:bCs/>
          <w:color w:val="000000"/>
          <w:sz w:val="28"/>
          <w:szCs w:val="28"/>
          <w:lang w:val="vi-VN"/>
        </w:rPr>
      </w:pPr>
      <w:r>
        <w:rPr>
          <w:b/>
          <w:bCs/>
          <w:color w:val="000000"/>
          <w:sz w:val="28"/>
          <w:szCs w:val="28"/>
          <w:lang w:val="vi-VN"/>
        </w:rPr>
        <w:t xml:space="preserve">QUYẾT </w:t>
      </w:r>
      <w:r>
        <w:rPr>
          <w:b/>
          <w:bCs/>
          <w:color w:val="000000"/>
          <w:sz w:val="28"/>
          <w:szCs w:val="28"/>
          <w:lang w:val="nl-NL"/>
        </w:rPr>
        <w:t>NGHỊ</w:t>
      </w:r>
      <w:r>
        <w:rPr>
          <w:b/>
          <w:bCs/>
          <w:color w:val="000000"/>
          <w:sz w:val="28"/>
          <w:szCs w:val="28"/>
          <w:lang w:val="vi-VN"/>
        </w:rPr>
        <w:t>:</w:t>
      </w:r>
    </w:p>
    <w:p w:rsidR="00B41579" w:rsidRDefault="00B41579" w:rsidP="00B41579">
      <w:pPr>
        <w:spacing w:before="120" w:line="340" w:lineRule="exact"/>
        <w:ind w:firstLine="720"/>
        <w:jc w:val="both"/>
        <w:rPr>
          <w:b/>
          <w:sz w:val="28"/>
          <w:szCs w:val="28"/>
          <w:lang w:val="nl-NL"/>
        </w:rPr>
      </w:pPr>
      <w:bookmarkStart w:id="1" w:name="dieu_1"/>
      <w:r>
        <w:rPr>
          <w:b/>
          <w:bCs/>
          <w:sz w:val="28"/>
          <w:szCs w:val="28"/>
          <w:lang w:val="vi-VN"/>
        </w:rPr>
        <w:t>Điều 1</w:t>
      </w:r>
      <w:bookmarkEnd w:id="1"/>
      <w:r>
        <w:rPr>
          <w:b/>
          <w:bCs/>
          <w:sz w:val="28"/>
          <w:szCs w:val="28"/>
          <w:lang w:val="vi-VN"/>
        </w:rPr>
        <w:t>.</w:t>
      </w:r>
      <w:bookmarkStart w:id="2" w:name="dieu_2"/>
      <w:r>
        <w:rPr>
          <w:iCs/>
          <w:sz w:val="28"/>
          <w:szCs w:val="28"/>
          <w:lang w:val="nl-NL"/>
        </w:rPr>
        <w:t xml:space="preserve"> </w:t>
      </w:r>
      <w:r>
        <w:rPr>
          <w:sz w:val="28"/>
          <w:szCs w:val="28"/>
          <w:lang w:val="nl-NL"/>
        </w:rPr>
        <w:t>Quy định chung</w:t>
      </w:r>
    </w:p>
    <w:p w:rsidR="00B41579" w:rsidRDefault="00B41579" w:rsidP="00B41579">
      <w:pPr>
        <w:spacing w:before="120" w:line="340" w:lineRule="exact"/>
        <w:ind w:firstLine="720"/>
        <w:jc w:val="both"/>
        <w:rPr>
          <w:sz w:val="28"/>
          <w:szCs w:val="28"/>
          <w:lang w:val="nl-NL"/>
        </w:rPr>
      </w:pPr>
      <w:r>
        <w:rPr>
          <w:sz w:val="28"/>
          <w:szCs w:val="28"/>
          <w:lang w:val="nl-NL"/>
        </w:rPr>
        <w:t>Việc quản lý, sử dụng và quyết toán kinh phí do ngân sách nhà nước đảm bảo cho công tác xây dựng văn bản quy phạm pháp luật và hoàn thiện hệ thống pháp luật, thực hiện theo Thông tư số 338/2016/TT-BTC ngày 28/12/2016 của Bộ Tài chính và các quy định cụ thể tại Nghị quyết này.</w:t>
      </w:r>
    </w:p>
    <w:p w:rsidR="00B41579" w:rsidRDefault="00B41579" w:rsidP="00B41579">
      <w:pPr>
        <w:spacing w:before="120" w:line="340" w:lineRule="exact"/>
        <w:ind w:firstLine="720"/>
        <w:jc w:val="both"/>
        <w:rPr>
          <w:sz w:val="28"/>
          <w:szCs w:val="28"/>
          <w:lang w:val="nl-NL"/>
        </w:rPr>
      </w:pPr>
      <w:r>
        <w:rPr>
          <w:b/>
          <w:sz w:val="28"/>
          <w:szCs w:val="28"/>
          <w:lang w:val="nl-NL"/>
        </w:rPr>
        <w:t xml:space="preserve">Điều 2. </w:t>
      </w:r>
      <w:r>
        <w:rPr>
          <w:sz w:val="28"/>
          <w:szCs w:val="28"/>
          <w:lang w:val="nl-NL"/>
        </w:rPr>
        <w:t>Quy định mức phân bổ kinh phí cho công tác xây dựng Nghị quyết của Hội đồng nhân dân (HĐND), Quyết định của Ủy ban nhân dân (UBND):</w:t>
      </w:r>
    </w:p>
    <w:p w:rsidR="00B41579" w:rsidRDefault="00B41579" w:rsidP="00B41579">
      <w:pPr>
        <w:spacing w:before="120" w:line="340" w:lineRule="exact"/>
        <w:ind w:firstLine="720"/>
        <w:jc w:val="both"/>
        <w:rPr>
          <w:b/>
          <w:sz w:val="28"/>
          <w:szCs w:val="28"/>
          <w:lang w:val="nl-NL"/>
        </w:rPr>
      </w:pPr>
      <w:r>
        <w:rPr>
          <w:sz w:val="28"/>
          <w:szCs w:val="28"/>
          <w:lang w:val="nl-NL"/>
        </w:rPr>
        <w:t>1.</w:t>
      </w:r>
      <w:r>
        <w:rPr>
          <w:b/>
          <w:sz w:val="28"/>
          <w:szCs w:val="28"/>
          <w:lang w:val="nl-NL"/>
        </w:rPr>
        <w:t xml:space="preserve"> </w:t>
      </w:r>
      <w:r>
        <w:rPr>
          <w:sz w:val="28"/>
          <w:szCs w:val="28"/>
          <w:lang w:val="nl-NL"/>
        </w:rPr>
        <w:t xml:space="preserve">Định mức phân bổ kinh phí cho việc ban hành mới hoặc thay thế Nghị quyết của HĐND, Quyết định của UBND của từng cấp như sau:  </w:t>
      </w:r>
    </w:p>
    <w:p w:rsidR="00B41579" w:rsidRDefault="00B41579" w:rsidP="00B41579">
      <w:pPr>
        <w:spacing w:before="120" w:line="340" w:lineRule="exact"/>
        <w:ind w:firstLine="720"/>
        <w:jc w:val="both"/>
        <w:rPr>
          <w:b/>
          <w:sz w:val="28"/>
          <w:szCs w:val="28"/>
          <w:lang w:val="nl-NL"/>
        </w:rPr>
      </w:pPr>
      <w:r>
        <w:rPr>
          <w:sz w:val="28"/>
          <w:szCs w:val="28"/>
          <w:lang w:val="nl-NL"/>
        </w:rPr>
        <w:lastRenderedPageBreak/>
        <w:t>a)</w:t>
      </w:r>
      <w:r>
        <w:rPr>
          <w:b/>
          <w:sz w:val="28"/>
          <w:szCs w:val="28"/>
          <w:lang w:val="nl-NL"/>
        </w:rPr>
        <w:t xml:space="preserve"> </w:t>
      </w:r>
      <w:r>
        <w:rPr>
          <w:sz w:val="28"/>
          <w:szCs w:val="28"/>
          <w:lang w:val="nl-NL"/>
        </w:rPr>
        <w:t xml:space="preserve">Cấp tỉnh: </w:t>
      </w:r>
    </w:p>
    <w:p w:rsidR="00B41579" w:rsidRDefault="00B41579" w:rsidP="00B41579">
      <w:pPr>
        <w:spacing w:before="120" w:line="340" w:lineRule="exact"/>
        <w:ind w:firstLine="720"/>
        <w:jc w:val="both"/>
        <w:rPr>
          <w:sz w:val="28"/>
          <w:szCs w:val="28"/>
          <w:lang w:val="nl-NL"/>
        </w:rPr>
      </w:pPr>
      <w:r>
        <w:rPr>
          <w:sz w:val="28"/>
          <w:szCs w:val="28"/>
          <w:lang w:val="nl-NL"/>
        </w:rPr>
        <w:t>- Đối với xây dựng, ban hành các Nghị quyết của HĐND tỉnh và Quyết định của UBND tỉnh theo đặc thù của địa phương hoặc Trung ương giao cho địa phương quy định cụ thể nhưng không quy định nội dung, khung định mức; định mức phân bổ là: 10 triệu đồng/văn bản;</w:t>
      </w:r>
    </w:p>
    <w:p w:rsidR="00B41579" w:rsidRDefault="00B41579" w:rsidP="00B41579">
      <w:pPr>
        <w:spacing w:before="120" w:line="340" w:lineRule="exact"/>
        <w:ind w:firstLine="720"/>
        <w:jc w:val="both"/>
        <w:rPr>
          <w:sz w:val="28"/>
          <w:szCs w:val="28"/>
          <w:lang w:val="nl-NL"/>
        </w:rPr>
      </w:pPr>
      <w:r>
        <w:rPr>
          <w:sz w:val="28"/>
          <w:szCs w:val="28"/>
          <w:lang w:val="nl-NL"/>
        </w:rPr>
        <w:t>- T</w:t>
      </w:r>
      <w:r>
        <w:rPr>
          <w:bCs/>
          <w:sz w:val="28"/>
          <w:szCs w:val="28"/>
          <w:lang w:val="nl-NL"/>
        </w:rPr>
        <w:t>rường hợp xây dựng, ban hành Nghị quyết của HĐND tỉnh, Quyết định của UBND tỉnh ngoài quy định nêu trên và t</w:t>
      </w:r>
      <w:r>
        <w:rPr>
          <w:sz w:val="28"/>
          <w:szCs w:val="28"/>
          <w:lang w:val="nl-NL"/>
        </w:rPr>
        <w:t xml:space="preserve">rường hợp </w:t>
      </w:r>
      <w:r>
        <w:rPr>
          <w:bCs/>
          <w:sz w:val="28"/>
          <w:szCs w:val="28"/>
          <w:lang w:val="nl-NL"/>
        </w:rPr>
        <w:t xml:space="preserve">Trung ương đã ban hành khung định mức, căn cứ điều kiện địa phương để quy định cho phù hợp với thực tế, </w:t>
      </w:r>
      <w:r>
        <w:rPr>
          <w:sz w:val="28"/>
          <w:szCs w:val="28"/>
          <w:lang w:val="nl-NL"/>
        </w:rPr>
        <w:t>định mức phân bổ là: 9.000.000 đ/văn bản.</w:t>
      </w:r>
    </w:p>
    <w:p w:rsidR="00B41579" w:rsidRDefault="00B41579" w:rsidP="00B41579">
      <w:pPr>
        <w:spacing w:before="120" w:line="340" w:lineRule="exact"/>
        <w:ind w:firstLine="720"/>
        <w:jc w:val="both"/>
        <w:rPr>
          <w:sz w:val="28"/>
          <w:szCs w:val="28"/>
          <w:lang w:val="nl-NL"/>
        </w:rPr>
      </w:pPr>
      <w:r>
        <w:rPr>
          <w:sz w:val="28"/>
          <w:szCs w:val="28"/>
          <w:lang w:val="nl-NL"/>
        </w:rPr>
        <w:t>b) Cấp huyện: 8 triệu đồng/văn bản.</w:t>
      </w:r>
    </w:p>
    <w:p w:rsidR="00B41579" w:rsidRDefault="00B41579" w:rsidP="00B41579">
      <w:pPr>
        <w:spacing w:before="120" w:line="340" w:lineRule="exact"/>
        <w:ind w:firstLine="720"/>
        <w:jc w:val="both"/>
        <w:rPr>
          <w:sz w:val="28"/>
          <w:szCs w:val="28"/>
          <w:lang w:val="nl-NL"/>
        </w:rPr>
      </w:pPr>
      <w:r>
        <w:rPr>
          <w:sz w:val="28"/>
          <w:szCs w:val="28"/>
          <w:lang w:val="nl-NL"/>
        </w:rPr>
        <w:t>c) Cấp xã: 6 triệu đồng/văn bản.</w:t>
      </w:r>
    </w:p>
    <w:p w:rsidR="00B41579" w:rsidRDefault="00B41579" w:rsidP="00B41579">
      <w:pPr>
        <w:spacing w:before="120" w:line="340" w:lineRule="exact"/>
        <w:ind w:firstLine="720"/>
        <w:jc w:val="both"/>
        <w:rPr>
          <w:sz w:val="28"/>
          <w:szCs w:val="28"/>
          <w:lang w:val="nl-NL"/>
        </w:rPr>
      </w:pPr>
      <w:r>
        <w:rPr>
          <w:sz w:val="28"/>
          <w:szCs w:val="28"/>
          <w:lang w:val="nl-NL"/>
        </w:rPr>
        <w:t>2. Định mức phân bổ kinh phí cho việc sửa đổi, bổ sung Nghị quyết của HĐND, Quyết định của UBND: Phân bổ kinh phí bằng 80% định mức phân bổ đối với văn bản được ban hành mới hoặc thay thế.</w:t>
      </w:r>
    </w:p>
    <w:p w:rsidR="00B41579" w:rsidRDefault="00B41579" w:rsidP="00B41579">
      <w:pPr>
        <w:spacing w:before="120" w:line="340" w:lineRule="exact"/>
        <w:ind w:firstLine="720"/>
        <w:jc w:val="both"/>
        <w:rPr>
          <w:iCs/>
          <w:sz w:val="28"/>
          <w:szCs w:val="28"/>
          <w:lang w:val="nl-NL"/>
        </w:rPr>
      </w:pPr>
      <w:r>
        <w:rPr>
          <w:b/>
          <w:sz w:val="28"/>
          <w:szCs w:val="28"/>
          <w:lang w:val="nl-NL"/>
        </w:rPr>
        <w:t xml:space="preserve">Điều 3. </w:t>
      </w:r>
      <w:r>
        <w:rPr>
          <w:sz w:val="28"/>
          <w:szCs w:val="28"/>
          <w:lang w:val="nl-NL"/>
        </w:rPr>
        <w:t>Giao Ủy ban nhân dân tỉnh</w:t>
      </w:r>
      <w:r>
        <w:rPr>
          <w:iCs/>
          <w:sz w:val="28"/>
          <w:szCs w:val="28"/>
          <w:lang w:val="nl-NL"/>
        </w:rPr>
        <w:t xml:space="preserve"> tổ chức thực hiện Nghị quyết này. Hằng năm, báo cáo kết quả thực hiện tại kỳ họp thường lệ của Hội đồng nhân dân tỉnh</w:t>
      </w:r>
      <w:r>
        <w:rPr>
          <w:iCs/>
          <w:sz w:val="28"/>
          <w:szCs w:val="28"/>
          <w:lang w:val="vi-VN"/>
        </w:rPr>
        <w:t>.</w:t>
      </w:r>
    </w:p>
    <w:p w:rsidR="00B41579" w:rsidRDefault="00B41579" w:rsidP="00B41579">
      <w:pPr>
        <w:spacing w:before="120" w:line="340" w:lineRule="exact"/>
        <w:ind w:firstLine="720"/>
        <w:jc w:val="both"/>
        <w:rPr>
          <w:iCs/>
          <w:sz w:val="28"/>
          <w:szCs w:val="28"/>
          <w:lang w:val="nl-NL"/>
        </w:rPr>
      </w:pPr>
      <w:r>
        <w:rPr>
          <w:iCs/>
          <w:sz w:val="28"/>
          <w:szCs w:val="28"/>
          <w:lang w:val="nl-NL"/>
        </w:rPr>
        <w:t>Các quy định trước đây không phù hợp với quy định tại Nghị quyết này đều bị bãi bỏ.</w:t>
      </w:r>
    </w:p>
    <w:p w:rsidR="00B41579" w:rsidRDefault="00B41579" w:rsidP="00B41579">
      <w:pPr>
        <w:spacing w:before="120" w:line="340" w:lineRule="exact"/>
        <w:ind w:firstLine="720"/>
        <w:jc w:val="both"/>
        <w:rPr>
          <w:iCs/>
          <w:sz w:val="28"/>
          <w:szCs w:val="28"/>
          <w:lang w:val="nl-NL"/>
        </w:rPr>
      </w:pPr>
      <w:r>
        <w:rPr>
          <w:b/>
          <w:iCs/>
          <w:sz w:val="28"/>
          <w:szCs w:val="28"/>
          <w:lang w:val="nl-NL"/>
        </w:rPr>
        <w:t>Điều 4.</w:t>
      </w:r>
      <w:r>
        <w:rPr>
          <w:iCs/>
          <w:sz w:val="28"/>
          <w:szCs w:val="28"/>
          <w:lang w:val="nl-NL"/>
        </w:rPr>
        <w:t xml:space="preserve"> Thường trực Hội đồng nhân dân, các Ban Hội đồng nhân dân, các Tổ đại biểu và đại biểu Hội đồng nhân dân tỉnh có trách nhiệm giám sát, kiểm tra, đôn đốc việc thực hiện Nghị quyết.</w:t>
      </w:r>
    </w:p>
    <w:p w:rsidR="00B41579" w:rsidRDefault="00B41579" w:rsidP="00B41579">
      <w:pPr>
        <w:pStyle w:val="NormalWeb"/>
        <w:shd w:val="clear" w:color="auto" w:fill="FFFFFF"/>
        <w:spacing w:before="120" w:beforeAutospacing="0" w:after="0" w:afterAutospacing="0" w:line="340" w:lineRule="exact"/>
        <w:ind w:firstLine="720"/>
        <w:jc w:val="both"/>
        <w:rPr>
          <w:iCs/>
          <w:sz w:val="28"/>
          <w:szCs w:val="28"/>
          <w:lang w:val="nl-NL"/>
        </w:rPr>
      </w:pPr>
      <w:r>
        <w:rPr>
          <w:iCs/>
          <w:sz w:val="28"/>
          <w:szCs w:val="28"/>
          <w:lang w:val="nl-NL"/>
        </w:rPr>
        <w:t>Nghị quyết đã được Hội đồng nhân dân tỉnh Bắc Ninh khoá XVIII, kỳ họp thứ Mười thông qua ngày 06/12/2018 và có hiệu lực kể từ ngày 01/01/2019./.</w:t>
      </w:r>
    </w:p>
    <w:bookmarkEnd w:id="2"/>
    <w:tbl>
      <w:tblPr>
        <w:tblW w:w="9495" w:type="dxa"/>
        <w:jc w:val="center"/>
        <w:tblInd w:w="40" w:type="dxa"/>
        <w:tblLayout w:type="fixed"/>
        <w:tblCellMar>
          <w:left w:w="40" w:type="dxa"/>
          <w:right w:w="40" w:type="dxa"/>
        </w:tblCellMar>
        <w:tblLook w:val="04A0" w:firstRow="1" w:lastRow="0" w:firstColumn="1" w:lastColumn="0" w:noHBand="0" w:noVBand="1"/>
      </w:tblPr>
      <w:tblGrid>
        <w:gridCol w:w="4907"/>
        <w:gridCol w:w="4588"/>
      </w:tblGrid>
      <w:tr w:rsidR="00B41579" w:rsidTr="00B41579">
        <w:trPr>
          <w:jc w:val="center"/>
        </w:trPr>
        <w:tc>
          <w:tcPr>
            <w:tcW w:w="4905" w:type="dxa"/>
          </w:tcPr>
          <w:p w:rsidR="00B41579" w:rsidRDefault="00B41579">
            <w:pPr>
              <w:autoSpaceDE w:val="0"/>
              <w:snapToGrid w:val="0"/>
              <w:spacing w:line="240" w:lineRule="atLeast"/>
              <w:ind w:right="108"/>
              <w:rPr>
                <w:b/>
                <w:bCs/>
                <w:i/>
                <w:color w:val="000000"/>
                <w:lang w:val="nl-NL"/>
              </w:rPr>
            </w:pPr>
          </w:p>
          <w:p w:rsidR="00B41579" w:rsidRDefault="00B41579">
            <w:pPr>
              <w:autoSpaceDE w:val="0"/>
              <w:snapToGrid w:val="0"/>
              <w:spacing w:line="240" w:lineRule="atLeast"/>
              <w:ind w:right="108"/>
              <w:rPr>
                <w:bCs/>
                <w:color w:val="000000"/>
                <w:sz w:val="22"/>
                <w:szCs w:val="22"/>
                <w:lang w:val="vi-VN"/>
              </w:rPr>
            </w:pPr>
            <w:r>
              <w:rPr>
                <w:b/>
                <w:bCs/>
                <w:i/>
                <w:color w:val="000000"/>
                <w:lang w:val="vi-VN"/>
              </w:rPr>
              <w:t>Nơi nhận:</w:t>
            </w:r>
          </w:p>
          <w:p w:rsidR="00B41579" w:rsidRDefault="00B41579">
            <w:pPr>
              <w:autoSpaceDE w:val="0"/>
              <w:snapToGrid w:val="0"/>
              <w:spacing w:line="240" w:lineRule="atLeast"/>
              <w:ind w:right="108"/>
              <w:rPr>
                <w:bCs/>
                <w:color w:val="000000"/>
                <w:sz w:val="22"/>
                <w:szCs w:val="22"/>
              </w:rPr>
            </w:pPr>
            <w:r>
              <w:rPr>
                <w:bCs/>
                <w:color w:val="000000"/>
                <w:sz w:val="22"/>
                <w:szCs w:val="22"/>
              </w:rPr>
              <w:t>- UBTVQH; Chính phủ (b/c);</w:t>
            </w:r>
          </w:p>
          <w:p w:rsidR="00B41579" w:rsidRDefault="00B41579">
            <w:pPr>
              <w:autoSpaceDE w:val="0"/>
              <w:snapToGrid w:val="0"/>
              <w:spacing w:line="240" w:lineRule="atLeast"/>
              <w:ind w:right="108"/>
              <w:rPr>
                <w:bCs/>
                <w:color w:val="000000"/>
                <w:sz w:val="22"/>
                <w:szCs w:val="22"/>
              </w:rPr>
            </w:pPr>
            <w:r>
              <w:rPr>
                <w:bCs/>
                <w:color w:val="000000"/>
                <w:sz w:val="22"/>
                <w:szCs w:val="22"/>
              </w:rPr>
              <w:t>- Bộ Tài chính (b/c);</w:t>
            </w:r>
          </w:p>
          <w:p w:rsidR="00B41579" w:rsidRDefault="00B41579">
            <w:pPr>
              <w:autoSpaceDE w:val="0"/>
              <w:snapToGrid w:val="0"/>
              <w:spacing w:line="240" w:lineRule="atLeast"/>
              <w:ind w:right="108"/>
              <w:rPr>
                <w:bCs/>
                <w:color w:val="000000"/>
                <w:sz w:val="22"/>
                <w:szCs w:val="22"/>
              </w:rPr>
            </w:pPr>
            <w:r>
              <w:rPr>
                <w:bCs/>
                <w:color w:val="000000"/>
                <w:sz w:val="22"/>
                <w:szCs w:val="22"/>
              </w:rPr>
              <w:t>- Bộ Tư pháp (Cục KTVB);</w:t>
            </w:r>
          </w:p>
          <w:p w:rsidR="00B41579" w:rsidRDefault="00B41579">
            <w:pPr>
              <w:autoSpaceDE w:val="0"/>
              <w:snapToGrid w:val="0"/>
              <w:spacing w:line="240" w:lineRule="atLeast"/>
              <w:ind w:right="108"/>
              <w:rPr>
                <w:bCs/>
                <w:color w:val="000000"/>
                <w:sz w:val="22"/>
                <w:szCs w:val="22"/>
              </w:rPr>
            </w:pPr>
            <w:r>
              <w:rPr>
                <w:bCs/>
                <w:color w:val="000000"/>
                <w:sz w:val="22"/>
                <w:szCs w:val="22"/>
              </w:rPr>
              <w:t>- TT Tỉnh ủy, HĐND, UBND, UBMTTQ tỉnh;</w:t>
            </w:r>
          </w:p>
          <w:p w:rsidR="00B41579" w:rsidRDefault="00B41579">
            <w:pPr>
              <w:autoSpaceDE w:val="0"/>
              <w:snapToGrid w:val="0"/>
              <w:spacing w:line="240" w:lineRule="atLeast"/>
              <w:ind w:right="108"/>
              <w:rPr>
                <w:bCs/>
                <w:color w:val="000000"/>
                <w:sz w:val="22"/>
                <w:szCs w:val="22"/>
              </w:rPr>
            </w:pPr>
            <w:r>
              <w:rPr>
                <w:bCs/>
                <w:color w:val="000000"/>
                <w:sz w:val="22"/>
                <w:szCs w:val="22"/>
              </w:rPr>
              <w:t>- Đoàn Đại biểu Quốc hội tỉnh;</w:t>
            </w:r>
          </w:p>
          <w:p w:rsidR="00B41579" w:rsidRDefault="00B41579">
            <w:pPr>
              <w:autoSpaceDE w:val="0"/>
              <w:snapToGrid w:val="0"/>
              <w:spacing w:line="240" w:lineRule="atLeast"/>
              <w:ind w:right="108"/>
              <w:rPr>
                <w:bCs/>
                <w:color w:val="000000"/>
                <w:sz w:val="22"/>
                <w:szCs w:val="22"/>
              </w:rPr>
            </w:pPr>
            <w:r>
              <w:rPr>
                <w:bCs/>
                <w:color w:val="000000"/>
                <w:sz w:val="22"/>
                <w:szCs w:val="22"/>
              </w:rPr>
              <w:t>- VKSND; TAND tỉnh;</w:t>
            </w:r>
          </w:p>
          <w:p w:rsidR="00B41579" w:rsidRDefault="00B41579">
            <w:pPr>
              <w:autoSpaceDE w:val="0"/>
              <w:snapToGrid w:val="0"/>
              <w:spacing w:line="240" w:lineRule="atLeast"/>
              <w:ind w:right="108"/>
              <w:rPr>
                <w:bCs/>
                <w:color w:val="000000"/>
                <w:sz w:val="22"/>
                <w:szCs w:val="22"/>
              </w:rPr>
            </w:pPr>
            <w:r>
              <w:rPr>
                <w:bCs/>
                <w:color w:val="000000"/>
                <w:sz w:val="22"/>
                <w:szCs w:val="22"/>
              </w:rPr>
              <w:t>- Các Ban HĐND; các đại biểu HĐND tỉnh;</w:t>
            </w:r>
          </w:p>
          <w:p w:rsidR="00B41579" w:rsidRDefault="00B41579">
            <w:pPr>
              <w:autoSpaceDE w:val="0"/>
              <w:snapToGrid w:val="0"/>
              <w:spacing w:line="240" w:lineRule="atLeast"/>
              <w:ind w:right="108"/>
              <w:rPr>
                <w:bCs/>
                <w:color w:val="000000"/>
                <w:sz w:val="22"/>
                <w:szCs w:val="22"/>
              </w:rPr>
            </w:pPr>
            <w:r>
              <w:rPr>
                <w:bCs/>
                <w:color w:val="000000"/>
                <w:sz w:val="22"/>
                <w:szCs w:val="22"/>
              </w:rPr>
              <w:t>- Các Sở, ban, ngành, đoàn thể tỉnh;</w:t>
            </w:r>
          </w:p>
          <w:p w:rsidR="00B41579" w:rsidRDefault="00B41579">
            <w:pPr>
              <w:autoSpaceDE w:val="0"/>
              <w:snapToGrid w:val="0"/>
              <w:spacing w:line="240" w:lineRule="atLeast"/>
              <w:ind w:right="108"/>
              <w:rPr>
                <w:bCs/>
                <w:color w:val="000000"/>
                <w:sz w:val="22"/>
                <w:szCs w:val="22"/>
              </w:rPr>
            </w:pPr>
            <w:r>
              <w:rPr>
                <w:bCs/>
                <w:color w:val="000000"/>
                <w:sz w:val="22"/>
                <w:szCs w:val="22"/>
              </w:rPr>
              <w:t>- Các cơ quan Trung ương đóng trên địa bàn tỉnh;</w:t>
            </w:r>
          </w:p>
          <w:p w:rsidR="00B41579" w:rsidRDefault="00B41579">
            <w:pPr>
              <w:autoSpaceDE w:val="0"/>
              <w:snapToGrid w:val="0"/>
              <w:spacing w:line="240" w:lineRule="atLeast"/>
              <w:ind w:right="108"/>
              <w:rPr>
                <w:bCs/>
                <w:color w:val="000000"/>
                <w:sz w:val="22"/>
                <w:szCs w:val="22"/>
              </w:rPr>
            </w:pPr>
            <w:r>
              <w:rPr>
                <w:bCs/>
                <w:color w:val="000000"/>
                <w:sz w:val="22"/>
                <w:szCs w:val="22"/>
              </w:rPr>
              <w:t>- Các huyện ủy, thị ủy, thành ủy;</w:t>
            </w:r>
          </w:p>
          <w:p w:rsidR="00B41579" w:rsidRDefault="00B41579">
            <w:pPr>
              <w:autoSpaceDE w:val="0"/>
              <w:snapToGrid w:val="0"/>
              <w:spacing w:line="240" w:lineRule="atLeast"/>
              <w:ind w:right="108"/>
              <w:rPr>
                <w:bCs/>
                <w:color w:val="000000"/>
                <w:sz w:val="22"/>
                <w:szCs w:val="22"/>
              </w:rPr>
            </w:pPr>
            <w:r>
              <w:rPr>
                <w:bCs/>
                <w:color w:val="000000"/>
                <w:sz w:val="22"/>
                <w:szCs w:val="22"/>
              </w:rPr>
              <w:t>- TTHĐND, UBND các huyện, thị xã, thành phố;</w:t>
            </w:r>
          </w:p>
          <w:p w:rsidR="00B41579" w:rsidRDefault="00B41579">
            <w:pPr>
              <w:autoSpaceDE w:val="0"/>
              <w:snapToGrid w:val="0"/>
              <w:spacing w:line="240" w:lineRule="atLeast"/>
              <w:ind w:right="108"/>
              <w:rPr>
                <w:bCs/>
                <w:color w:val="000000"/>
                <w:sz w:val="22"/>
                <w:szCs w:val="22"/>
              </w:rPr>
            </w:pPr>
            <w:r>
              <w:rPr>
                <w:bCs/>
                <w:color w:val="000000"/>
                <w:sz w:val="22"/>
                <w:szCs w:val="22"/>
              </w:rPr>
              <w:t xml:space="preserve">- Công báo, Đài PTTH, cổng TTĐT tỉnh, </w:t>
            </w:r>
          </w:p>
          <w:p w:rsidR="00B41579" w:rsidRDefault="00B41579">
            <w:pPr>
              <w:autoSpaceDE w:val="0"/>
              <w:snapToGrid w:val="0"/>
              <w:spacing w:line="240" w:lineRule="atLeast"/>
              <w:ind w:right="108"/>
              <w:rPr>
                <w:bCs/>
                <w:color w:val="000000"/>
                <w:sz w:val="22"/>
                <w:szCs w:val="22"/>
              </w:rPr>
            </w:pPr>
            <w:r>
              <w:rPr>
                <w:bCs/>
                <w:color w:val="000000"/>
                <w:sz w:val="22"/>
                <w:szCs w:val="22"/>
              </w:rPr>
              <w:t xml:space="preserve">  Báo BN, TTXVN tại BN;</w:t>
            </w:r>
          </w:p>
          <w:p w:rsidR="00B41579" w:rsidRDefault="00B41579">
            <w:pPr>
              <w:autoSpaceDE w:val="0"/>
              <w:snapToGrid w:val="0"/>
              <w:spacing w:line="240" w:lineRule="atLeast"/>
              <w:ind w:right="108"/>
              <w:rPr>
                <w:bCs/>
                <w:color w:val="000000"/>
                <w:sz w:val="22"/>
                <w:szCs w:val="22"/>
              </w:rPr>
            </w:pPr>
            <w:r>
              <w:rPr>
                <w:bCs/>
                <w:color w:val="000000"/>
                <w:sz w:val="22"/>
                <w:szCs w:val="22"/>
              </w:rPr>
              <w:t>- VP: CVP, phòng TH; lưu VT.</w:t>
            </w:r>
          </w:p>
        </w:tc>
        <w:tc>
          <w:tcPr>
            <w:tcW w:w="4586" w:type="dxa"/>
          </w:tcPr>
          <w:p w:rsidR="00B41579" w:rsidRDefault="00B41579">
            <w:pPr>
              <w:autoSpaceDE w:val="0"/>
              <w:snapToGrid w:val="0"/>
              <w:spacing w:line="360" w:lineRule="auto"/>
              <w:jc w:val="center"/>
              <w:rPr>
                <w:b/>
                <w:bCs/>
                <w:sz w:val="26"/>
                <w:szCs w:val="26"/>
                <w:lang w:val="vi-VN"/>
              </w:rPr>
            </w:pPr>
          </w:p>
          <w:p w:rsidR="00B41579" w:rsidRDefault="00B41579">
            <w:pPr>
              <w:autoSpaceDE w:val="0"/>
              <w:snapToGrid w:val="0"/>
              <w:jc w:val="center"/>
              <w:rPr>
                <w:b/>
                <w:bCs/>
                <w:sz w:val="26"/>
                <w:szCs w:val="26"/>
              </w:rPr>
            </w:pPr>
            <w:r>
              <w:rPr>
                <w:b/>
                <w:bCs/>
                <w:sz w:val="26"/>
                <w:szCs w:val="26"/>
              </w:rPr>
              <w:t xml:space="preserve">KT. </w:t>
            </w:r>
            <w:r>
              <w:rPr>
                <w:b/>
                <w:bCs/>
                <w:sz w:val="26"/>
                <w:szCs w:val="26"/>
                <w:lang w:val="vi-VN"/>
              </w:rPr>
              <w:t>CHỦ TỊCH</w:t>
            </w:r>
          </w:p>
          <w:p w:rsidR="00B41579" w:rsidRDefault="00B41579">
            <w:pPr>
              <w:autoSpaceDE w:val="0"/>
              <w:snapToGrid w:val="0"/>
              <w:jc w:val="center"/>
              <w:rPr>
                <w:b/>
                <w:bCs/>
                <w:sz w:val="26"/>
                <w:szCs w:val="26"/>
              </w:rPr>
            </w:pPr>
            <w:r>
              <w:rPr>
                <w:b/>
                <w:bCs/>
                <w:sz w:val="26"/>
                <w:szCs w:val="26"/>
              </w:rPr>
              <w:t>PHÓ CHỦ TỊCH</w:t>
            </w:r>
          </w:p>
          <w:p w:rsidR="00B41579" w:rsidRDefault="00B41579">
            <w:pPr>
              <w:autoSpaceDE w:val="0"/>
              <w:snapToGrid w:val="0"/>
              <w:spacing w:line="360" w:lineRule="auto"/>
              <w:jc w:val="center"/>
              <w:rPr>
                <w:b/>
                <w:bCs/>
                <w:sz w:val="26"/>
                <w:szCs w:val="26"/>
                <w:lang w:val="vi-VN"/>
              </w:rPr>
            </w:pPr>
          </w:p>
          <w:p w:rsidR="00B41579" w:rsidRDefault="00B41579">
            <w:pPr>
              <w:autoSpaceDE w:val="0"/>
              <w:snapToGrid w:val="0"/>
              <w:spacing w:line="360" w:lineRule="auto"/>
              <w:jc w:val="center"/>
              <w:rPr>
                <w:b/>
                <w:bCs/>
                <w:sz w:val="26"/>
                <w:szCs w:val="26"/>
                <w:lang w:val="vi-VN"/>
              </w:rPr>
            </w:pPr>
          </w:p>
          <w:p w:rsidR="00B41579" w:rsidRDefault="00B41579">
            <w:pPr>
              <w:autoSpaceDE w:val="0"/>
              <w:snapToGrid w:val="0"/>
              <w:spacing w:line="360" w:lineRule="auto"/>
              <w:jc w:val="center"/>
              <w:rPr>
                <w:b/>
                <w:bCs/>
                <w:sz w:val="26"/>
                <w:szCs w:val="26"/>
                <w:lang w:val="vi-VN"/>
              </w:rPr>
            </w:pPr>
          </w:p>
          <w:p w:rsidR="00B41579" w:rsidRDefault="00B41579">
            <w:pPr>
              <w:autoSpaceDE w:val="0"/>
              <w:snapToGrid w:val="0"/>
              <w:spacing w:line="360" w:lineRule="auto"/>
              <w:jc w:val="center"/>
              <w:rPr>
                <w:b/>
                <w:bCs/>
                <w:sz w:val="26"/>
                <w:szCs w:val="26"/>
                <w:lang w:val="vi-VN"/>
              </w:rPr>
            </w:pPr>
          </w:p>
          <w:p w:rsidR="00B41579" w:rsidRDefault="00B41579">
            <w:pPr>
              <w:autoSpaceDE w:val="0"/>
              <w:snapToGrid w:val="0"/>
              <w:spacing w:line="360" w:lineRule="auto"/>
              <w:jc w:val="center"/>
              <w:rPr>
                <w:b/>
                <w:bCs/>
                <w:sz w:val="28"/>
                <w:szCs w:val="28"/>
              </w:rPr>
            </w:pPr>
            <w:r>
              <w:rPr>
                <w:b/>
                <w:bCs/>
                <w:sz w:val="28"/>
                <w:szCs w:val="28"/>
                <w:lang w:val="vi-VN"/>
              </w:rPr>
              <w:t xml:space="preserve">Nguyễn </w:t>
            </w:r>
            <w:r>
              <w:rPr>
                <w:b/>
                <w:bCs/>
                <w:sz w:val="28"/>
                <w:szCs w:val="28"/>
              </w:rPr>
              <w:t>Xuân Thu</w:t>
            </w:r>
          </w:p>
        </w:tc>
      </w:tr>
    </w:tbl>
    <w:p w:rsidR="00B41579" w:rsidRDefault="00B41579" w:rsidP="00B41579">
      <w:pPr>
        <w:pStyle w:val="NormalWeb"/>
        <w:shd w:val="clear" w:color="auto" w:fill="FFFFFF"/>
        <w:spacing w:before="60" w:beforeAutospacing="0" w:after="60" w:afterAutospacing="0" w:line="280" w:lineRule="atLeast"/>
        <w:jc w:val="both"/>
        <w:rPr>
          <w:lang w:val="vi-VN"/>
        </w:rPr>
      </w:pPr>
      <w:r>
        <w:rPr>
          <w:lang w:val="vi-VN"/>
        </w:rPr>
        <w:t> </w:t>
      </w:r>
    </w:p>
    <w:p w:rsidR="00B91286" w:rsidRDefault="00B91286">
      <w:bookmarkStart w:id="3" w:name="_GoBack"/>
      <w:bookmarkEnd w:id="3"/>
    </w:p>
    <w:sectPr w:rsidR="00B91286" w:rsidSect="00BE077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79"/>
    <w:rsid w:val="00B41579"/>
    <w:rsid w:val="00B91286"/>
    <w:rsid w:val="00BE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7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15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7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15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3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2CD30-BC34-4A89-B969-04605192DA69}"/>
</file>

<file path=customXml/itemProps2.xml><?xml version="1.0" encoding="utf-8"?>
<ds:datastoreItem xmlns:ds="http://schemas.openxmlformats.org/officeDocument/2006/customXml" ds:itemID="{6DB3C2C8-EFCE-432E-80F2-5348978BC34B}"/>
</file>

<file path=customXml/itemProps3.xml><?xml version="1.0" encoding="utf-8"?>
<ds:datastoreItem xmlns:ds="http://schemas.openxmlformats.org/officeDocument/2006/customXml" ds:itemID="{64798E2B-88CD-47DE-B1C0-5998056CC029}"/>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2018-12-24T02:22:00Z</dcterms:created>
  <dcterms:modified xsi:type="dcterms:W3CDTF">2018-12-24T02:22:00Z</dcterms:modified>
</cp:coreProperties>
</file>