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0" w:type="pct"/>
        <w:tblInd w:w="115" w:type="dxa"/>
        <w:tblCellMar>
          <w:left w:w="0" w:type="dxa"/>
          <w:right w:w="0" w:type="dxa"/>
        </w:tblCellMar>
        <w:tblLook w:val="04A0" w:firstRow="1" w:lastRow="0" w:firstColumn="1" w:lastColumn="0" w:noHBand="0" w:noVBand="1"/>
      </w:tblPr>
      <w:tblGrid>
        <w:gridCol w:w="3521"/>
        <w:gridCol w:w="5279"/>
      </w:tblGrid>
      <w:tr w:rsidR="00DC6151" w:rsidRPr="00DC6151" w:rsidTr="00DC6151">
        <w:trPr>
          <w:trHeight w:val="930"/>
        </w:trPr>
        <w:tc>
          <w:tcPr>
            <w:tcW w:w="4560" w:type="dxa"/>
            <w:tcMar>
              <w:top w:w="0" w:type="dxa"/>
              <w:left w:w="115" w:type="dxa"/>
              <w:bottom w:w="0" w:type="dxa"/>
              <w:right w:w="115" w:type="dxa"/>
            </w:tcMar>
            <w:hideMark/>
          </w:tcPr>
          <w:p w:rsidR="00DC6151" w:rsidRPr="00DC6151" w:rsidRDefault="00DC6151" w:rsidP="00DC6151">
            <w:pPr>
              <w:spacing w:after="0" w:line="330" w:lineRule="atLeast"/>
              <w:jc w:val="center"/>
              <w:rPr>
                <w:rFonts w:eastAsia="Times New Roman" w:cs="Times New Roman"/>
                <w:color w:val="222222"/>
                <w:sz w:val="24"/>
                <w:szCs w:val="24"/>
              </w:rPr>
            </w:pPr>
            <w:r w:rsidRPr="00DC6151">
              <w:rPr>
                <w:rFonts w:eastAsia="Times New Roman" w:cs="Times New Roman"/>
                <w:b/>
                <w:bCs/>
                <w:color w:val="222222"/>
                <w:sz w:val="20"/>
                <w:szCs w:val="20"/>
              </w:rPr>
              <w:t>THỦ TƯỚNG CHÍNH PHỦ</w:t>
            </w:r>
            <w:r w:rsidRPr="00DC6151">
              <w:rPr>
                <w:rFonts w:eastAsia="Times New Roman" w:cs="Times New Roman"/>
                <w:b/>
                <w:bCs/>
                <w:color w:val="222222"/>
                <w:sz w:val="20"/>
                <w:szCs w:val="20"/>
              </w:rPr>
              <w:br/>
              <w:t>-------</w:t>
            </w:r>
          </w:p>
          <w:p w:rsidR="00DC6151" w:rsidRPr="00DC6151" w:rsidRDefault="00DC6151" w:rsidP="00DC6151">
            <w:pPr>
              <w:spacing w:after="0" w:line="330" w:lineRule="atLeast"/>
              <w:jc w:val="center"/>
              <w:rPr>
                <w:rFonts w:eastAsia="Times New Roman" w:cs="Times New Roman"/>
                <w:color w:val="222222"/>
                <w:sz w:val="24"/>
                <w:szCs w:val="24"/>
              </w:rPr>
            </w:pPr>
            <w:r w:rsidRPr="00DC6151">
              <w:rPr>
                <w:rFonts w:eastAsia="Times New Roman" w:cs="Times New Roman"/>
                <w:color w:val="222222"/>
                <w:sz w:val="20"/>
                <w:szCs w:val="20"/>
              </w:rPr>
              <w:t>Số: 34/2018/QĐ-TTg</w:t>
            </w:r>
          </w:p>
        </w:tc>
        <w:tc>
          <w:tcPr>
            <w:tcW w:w="7515" w:type="dxa"/>
            <w:tcMar>
              <w:top w:w="0" w:type="dxa"/>
              <w:left w:w="115" w:type="dxa"/>
              <w:bottom w:w="0" w:type="dxa"/>
              <w:right w:w="115" w:type="dxa"/>
            </w:tcMar>
            <w:hideMark/>
          </w:tcPr>
          <w:p w:rsidR="00DC6151" w:rsidRPr="00DC6151" w:rsidRDefault="00DC6151" w:rsidP="00DC6151">
            <w:pPr>
              <w:spacing w:after="0" w:line="330" w:lineRule="atLeast"/>
              <w:jc w:val="center"/>
              <w:rPr>
                <w:rFonts w:eastAsia="Times New Roman" w:cs="Times New Roman"/>
                <w:color w:val="222222"/>
                <w:sz w:val="24"/>
                <w:szCs w:val="24"/>
              </w:rPr>
            </w:pPr>
            <w:r w:rsidRPr="00DC6151">
              <w:rPr>
                <w:rFonts w:eastAsia="Times New Roman" w:cs="Times New Roman"/>
                <w:b/>
                <w:bCs/>
                <w:color w:val="222222"/>
                <w:sz w:val="20"/>
                <w:szCs w:val="20"/>
              </w:rPr>
              <w:t>CỘNG HÒA XÃ HỘI CHỦ NGHĨA VIỆT NAM</w:t>
            </w:r>
            <w:r w:rsidRPr="00DC6151">
              <w:rPr>
                <w:rFonts w:eastAsia="Times New Roman" w:cs="Times New Roman"/>
                <w:b/>
                <w:bCs/>
                <w:color w:val="222222"/>
                <w:sz w:val="20"/>
                <w:szCs w:val="20"/>
              </w:rPr>
              <w:br/>
              <w:t>Độc lập - Tự do - Hạnh phúc</w:t>
            </w:r>
            <w:r w:rsidRPr="00DC6151">
              <w:rPr>
                <w:rFonts w:eastAsia="Times New Roman" w:cs="Times New Roman"/>
                <w:b/>
                <w:bCs/>
                <w:color w:val="222222"/>
                <w:sz w:val="20"/>
                <w:szCs w:val="20"/>
              </w:rPr>
              <w:br/>
              <w:t>---------------</w:t>
            </w:r>
          </w:p>
          <w:p w:rsidR="00DC6151" w:rsidRPr="00DC6151" w:rsidRDefault="00DC6151" w:rsidP="00DC6151">
            <w:pPr>
              <w:spacing w:after="0" w:line="330" w:lineRule="atLeast"/>
              <w:jc w:val="right"/>
              <w:rPr>
                <w:rFonts w:eastAsia="Times New Roman" w:cs="Times New Roman"/>
                <w:color w:val="222222"/>
                <w:sz w:val="24"/>
                <w:szCs w:val="24"/>
              </w:rPr>
            </w:pPr>
            <w:r w:rsidRPr="00DC6151">
              <w:rPr>
                <w:rFonts w:eastAsia="Times New Roman" w:cs="Times New Roman"/>
                <w:i/>
                <w:iCs/>
                <w:color w:val="222222"/>
                <w:sz w:val="20"/>
                <w:szCs w:val="20"/>
              </w:rPr>
              <w:t>Hà Nội, ngày 10 tháng 8 năm 2018</w:t>
            </w:r>
          </w:p>
        </w:tc>
      </w:tr>
    </w:tbl>
    <w:p w:rsidR="00DC6151" w:rsidRPr="00DC6151" w:rsidRDefault="00DC6151" w:rsidP="00DC6151">
      <w:pPr>
        <w:spacing w:after="100" w:afterAutospacing="1" w:line="240" w:lineRule="auto"/>
        <w:rPr>
          <w:rFonts w:eastAsia="Times New Roman" w:cs="Times New Roman"/>
          <w:sz w:val="24"/>
          <w:szCs w:val="24"/>
        </w:rPr>
      </w:pPr>
      <w:r w:rsidRPr="00DC6151">
        <w:rPr>
          <w:rFonts w:eastAsia="Times New Roman" w:cs="Times New Roman"/>
          <w:sz w:val="24"/>
          <w:szCs w:val="24"/>
        </w:rPr>
        <w:t> </w:t>
      </w:r>
    </w:p>
    <w:p w:rsidR="00DC6151" w:rsidRPr="00DC6151" w:rsidRDefault="00DC6151" w:rsidP="00DC6151">
      <w:pPr>
        <w:spacing w:after="100" w:afterAutospacing="1" w:line="240" w:lineRule="auto"/>
        <w:jc w:val="center"/>
        <w:rPr>
          <w:rFonts w:eastAsia="Times New Roman" w:cs="Times New Roman"/>
          <w:sz w:val="24"/>
          <w:szCs w:val="24"/>
        </w:rPr>
      </w:pPr>
      <w:r w:rsidRPr="00DC6151">
        <w:rPr>
          <w:rFonts w:eastAsia="Times New Roman" w:cs="Times New Roman"/>
          <w:sz w:val="24"/>
          <w:szCs w:val="24"/>
        </w:rPr>
        <w:t> </w:t>
      </w:r>
    </w:p>
    <w:p w:rsidR="00DC6151" w:rsidRPr="00DC6151" w:rsidRDefault="00DC6151" w:rsidP="00DC6151">
      <w:pPr>
        <w:spacing w:after="100" w:afterAutospacing="1" w:line="240" w:lineRule="auto"/>
        <w:jc w:val="center"/>
        <w:rPr>
          <w:rFonts w:eastAsia="Times New Roman" w:cs="Times New Roman"/>
          <w:sz w:val="24"/>
          <w:szCs w:val="24"/>
        </w:rPr>
      </w:pPr>
      <w:r w:rsidRPr="00DC6151">
        <w:rPr>
          <w:rFonts w:eastAsia="Times New Roman" w:cs="Times New Roman"/>
          <w:b/>
          <w:bCs/>
          <w:sz w:val="20"/>
          <w:szCs w:val="20"/>
        </w:rPr>
        <w:t>QUYẾT ĐỊNH</w:t>
      </w:r>
    </w:p>
    <w:p w:rsidR="00DC6151" w:rsidRPr="00DC6151" w:rsidRDefault="00DC6151" w:rsidP="00DC6151">
      <w:pPr>
        <w:spacing w:after="100" w:afterAutospacing="1" w:line="240" w:lineRule="auto"/>
        <w:jc w:val="center"/>
        <w:rPr>
          <w:rFonts w:eastAsia="Times New Roman" w:cs="Times New Roman"/>
          <w:sz w:val="24"/>
          <w:szCs w:val="24"/>
        </w:rPr>
      </w:pPr>
      <w:r w:rsidRPr="00DC6151">
        <w:rPr>
          <w:rFonts w:eastAsia="Times New Roman" w:cs="Times New Roman"/>
          <w:b/>
          <w:bCs/>
          <w:sz w:val="20"/>
          <w:szCs w:val="20"/>
        </w:rPr>
        <w:t>QUY ĐỊNH CHỨC NĂNG, NHIỆM VỤ, QUYỀN HẠN VÀ CƠ CẤU TỔ CHỨC CỦA TỔNG CỤC QUẢN LÝ THỊ TRƯỜNG TRỰC THUỘC BỘ CÔNG THƯƠNG</w:t>
      </w:r>
    </w:p>
    <w:p w:rsidR="00DC6151" w:rsidRPr="00DC6151" w:rsidRDefault="00DC6151" w:rsidP="00DC6151">
      <w:pPr>
        <w:spacing w:after="100" w:afterAutospacing="1" w:line="240" w:lineRule="auto"/>
        <w:jc w:val="center"/>
        <w:rPr>
          <w:rFonts w:eastAsia="Times New Roman" w:cs="Times New Roman"/>
          <w:sz w:val="24"/>
          <w:szCs w:val="24"/>
        </w:rPr>
      </w:pPr>
      <w:r w:rsidRPr="00DC6151">
        <w:rPr>
          <w:rFonts w:eastAsia="Times New Roman" w:cs="Times New Roman"/>
          <w:sz w:val="24"/>
          <w:szCs w:val="24"/>
        </w:rPr>
        <w:t> </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Căn cứ </w:t>
      </w:r>
      <w:hyperlink r:id="rId4" w:anchor="noidung" w:tgtFrame="_blank" w:history="1">
        <w:r w:rsidRPr="00DC6151">
          <w:rPr>
            <w:rFonts w:eastAsia="Times New Roman" w:cs="Times New Roman"/>
            <w:i/>
            <w:iCs/>
            <w:color w:val="0000FF"/>
            <w:sz w:val="20"/>
            <w:szCs w:val="20"/>
            <w:u w:val="single"/>
          </w:rPr>
          <w:t>Luật tổ chức Chính phủ </w:t>
        </w:r>
      </w:hyperlink>
      <w:r w:rsidRPr="00DC6151">
        <w:rPr>
          <w:rFonts w:eastAsia="Times New Roman" w:cs="Times New Roman"/>
          <w:i/>
          <w:iCs/>
          <w:sz w:val="20"/>
          <w:szCs w:val="20"/>
        </w:rPr>
        <w:t>ngày 19 tháng 6 năm 2015;</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Căn cứ Pháp lệnh quản lý thị trường ngày 08 tháng 3 năm 2016;</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Căn cứ</w:t>
      </w:r>
      <w:hyperlink r:id="rId5" w:anchor="noidung" w:tgtFrame="_blank" w:history="1">
        <w:r w:rsidRPr="00DC6151">
          <w:rPr>
            <w:rFonts w:eastAsia="Times New Roman" w:cs="Times New Roman"/>
            <w:i/>
            <w:iCs/>
            <w:color w:val="0000FF"/>
            <w:sz w:val="20"/>
            <w:szCs w:val="20"/>
            <w:u w:val="single"/>
          </w:rPr>
          <w:t> Nghị định số </w:t>
        </w:r>
      </w:hyperlink>
      <w:hyperlink r:id="rId6" w:anchor="noidung" w:tgtFrame="_blank" w:history="1">
        <w:r w:rsidRPr="00DC6151">
          <w:rPr>
            <w:rFonts w:eastAsia="Times New Roman" w:cs="Times New Roman"/>
            <w:i/>
            <w:iCs/>
            <w:color w:val="0000FF"/>
            <w:sz w:val="20"/>
            <w:szCs w:val="20"/>
            <w:u w:val="single"/>
          </w:rPr>
          <w:t>1</w:t>
        </w:r>
      </w:hyperlink>
      <w:hyperlink r:id="rId7" w:anchor="noidung" w:tgtFrame="_blank" w:history="1">
        <w:r w:rsidRPr="00DC6151">
          <w:rPr>
            <w:rFonts w:eastAsia="Times New Roman" w:cs="Times New Roman"/>
            <w:i/>
            <w:iCs/>
            <w:color w:val="0000FF"/>
            <w:sz w:val="20"/>
            <w:szCs w:val="20"/>
            <w:u w:val="single"/>
          </w:rPr>
          <w:t>23/2016/NĐ-CP</w:t>
        </w:r>
      </w:hyperlink>
      <w:r w:rsidRPr="00DC6151">
        <w:rPr>
          <w:rFonts w:eastAsia="Times New Roman" w:cs="Times New Roman"/>
          <w:i/>
          <w:iCs/>
          <w:sz w:val="20"/>
          <w:szCs w:val="20"/>
        </w:rPr>
        <w:t> ngày 01 tháng 9 năm 2016 của Chính phủ quy định chức năng, nhiệm vụ, quyền hạn và cơ cấu tổ chức của bộ, cơ quan ngang bộ;</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Căn cứ </w:t>
      </w:r>
      <w:hyperlink r:id="rId8" w:anchor="noidung" w:tgtFrame="_blank" w:history="1">
        <w:r w:rsidRPr="00DC6151">
          <w:rPr>
            <w:rFonts w:eastAsia="Times New Roman" w:cs="Times New Roman"/>
            <w:i/>
            <w:iCs/>
            <w:color w:val="0000FF"/>
            <w:sz w:val="20"/>
            <w:szCs w:val="20"/>
            <w:u w:val="single"/>
          </w:rPr>
          <w:t>Nghị định số 98/2017/NĐ-CP</w:t>
        </w:r>
      </w:hyperlink>
      <w:r w:rsidRPr="00DC6151">
        <w:rPr>
          <w:rFonts w:eastAsia="Times New Roman" w:cs="Times New Roman"/>
          <w:i/>
          <w:iCs/>
          <w:sz w:val="20"/>
          <w:szCs w:val="20"/>
        </w:rPr>
        <w:t> ngày 18 tháng 8 năm 2017 của Chính phủ quy định chức năng, nhiệm vụ, quyền hạn và cơ cấu tổ chức của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Theo đề nghị của Bộ trưởng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i/>
          <w:iCs/>
          <w:sz w:val="20"/>
          <w:szCs w:val="20"/>
        </w:rPr>
        <w:t>Thủ tướng Chính phủ ban hành Quyết định quy định chức năng, nhiệm vụ, quyền hạn và cơ cấu tổ chức của Tổng cục Quản lý thị trường trực thuộc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1. Vị trí và chức năng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 Tổng cục Quản lý thị trường là tổ chức trực thuộc Bộ Công Thương, thực hiện chức năng tham mưu, giúp Bộ trưởng Bộ Công Thương quản lý nhà nước và tổ chức thực thi pháp luật về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2. Tổng cục Quản lý thị trường có tư cách pháp nhân, con dấu có hình Quốc huy, tài khoản riêng tại Kho bạc Nhà nước và trụ sở tại thành phố Hà Nội.</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2. Nhiệm vụ và quyền hạn</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 Trình Bộ trưởng Bộ Công Thương để trình Chính phủ, Thủ tướng Chính phủ xem xét, quyết định: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a) Dự án luật, dự thảo nghị quyết của Quốc hội, dự án pháp lệnh, nghị quyết của Ủy ban Thường vụ Quốc hội; dự thảo nghị quyết, nghị định của Chính phủ; dự thảo quyết định, chỉ thị của Thủ tướng Chính phủ về tổ chức và hoạt động của lực lượng Quản lý thị trường; về chế độ, chính sách đối với công chức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b) Chiến lược, chương trình mục tiêu quốc gia, chương trình hành động, kế hoạch phát triển dài hạn, đề án, dự án quan trọng, dự thảo báo cáo về tổ chức và hoạt động của lực lượng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2. Trình Bộ trưởng Bộ Công Thương xem xét, quyết định: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a) Dự thảo thông tư, quyết định, chỉ thị và các văn bản khác về tổ chức và hoạt động của lực lượng Quản lý thị trường; về công tác kiểm tra, đấu tranh chống các hành vi vi phạm pháp luật về kinh doanh hàng hóa, dịch vụ - thương mại trên thị trường và các lĩnh vực khác theo quy định của pháp luật, về chế độ, chính sách đối với công chức Quản lý thị trường thuộc thẩm quyền của Bộ trưởng;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b) Kế hoạch hoạt động hàng năm hoặc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giai đoạn của Tổng cục;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c) Kiến nghị biện pháp quản lý nhà nước liên quan đến tổ chức và hoạt động của lực lượng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3. Ban hành văn bản hướng dẫn chuyên môn, nghiệp vụ, văn bản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quy định của pháp luật thuộc phạm vi quản lý của Tổng cục.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lastRenderedPageBreak/>
        <w:t>4. Tổ chức thực hiện các văn bản quy phạm pháp luật, chiến lược, kế hoạch, chương trình, dự án, đề án về tổ chức và hoạt động của lực lượng Quản lý thị trường; về chế độ, chính sách đối với công chức Quản lý thị trường sau khi được cấp có thẩm quyền ban hành hoặc phê duyệt.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5. Tổ chức thực hiện các nhiệm vụ về kiểm tra, thanh tra chuyên ngành, xử lý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phạm hành chính theo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a) Chỉ đạo, hướng dẫn và thực hiện hoạt động kiểm tra, thanh tra chuyên ngành, đấu tranh chống các hành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vi phạm pháp luật trong phạm vi chức năng, nhiệm vụ, quyền hạn của lực lượng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b) Áp dụng các biện pháp nghiệp vụ phục vụ hoạt động kiểm tra, thanh tra chuyên ngành và xử lý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phạm hành chính;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c) Thu thập tài liệu, chứng cứ, lấy mẫu sản phẩm hàng hóa, tang vật, phương tiện có dấu hiệu vi phạm, trưng cầu giám định, kiểm nghiệm mẫu vật là hàng hóa, tài liệu, giấy tờ, vật chứng liên quan đến vi phạm pháp luật của tổ chức, cá nhân;</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d) Xử lý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phạm hành chính;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đ) Chủ trì, phối hợp với các cơ quan, tổ chức và cá nhân trong hoạt động kiểm tra, thanh tra chuyên ngành, xử lý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phạm hành chính.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6. Kiểm tra nội bộ, giải quyết khiếu nại, tố cáo; xử lý theo thẩm quyền hoặc kiến nghị cấp có thẩm quyền xử lý hành vi vi phạm pháp luật liên quan đến lực lượng Quản lý thị trường theo quy định của pháp luật; phòng, chống tham nhũng, tiêu cực và thực hành tiết kiệm, chống lãng phí trong việc sử dụng tài sản, kinh phí được giao theo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7. Tổ chức tuyên truyền, phổ biến, giáo dục pháp luật về các lĩnh vực thuộc phạm </w:t>
      </w:r>
      <w:proofErr w:type="gramStart"/>
      <w:r w:rsidRPr="00DC6151">
        <w:rPr>
          <w:rFonts w:eastAsia="Times New Roman" w:cs="Times New Roman"/>
          <w:sz w:val="20"/>
          <w:szCs w:val="20"/>
        </w:rPr>
        <w:t>vi</w:t>
      </w:r>
      <w:proofErr w:type="gramEnd"/>
      <w:r w:rsidRPr="00DC6151">
        <w:rPr>
          <w:rFonts w:eastAsia="Times New Roman" w:cs="Times New Roman"/>
          <w:sz w:val="20"/>
          <w:szCs w:val="20"/>
        </w:rPr>
        <w:t xml:space="preserve"> quản lý của Tổng cục.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8. Tổ chức thu thập thông tin, phân tích, đánh giá, dự báo tình hình để tham mưu, đề xuất với cấp có thẩm quyền áp dụng các biện pháp phòng ngừa, đấu tranh đối với các hành vi vi phạm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9. Xây dựng, vận hành và phát triển hệ thống thông tin, cơ sở dữ liệu về quản lý địa bàn, kết quả kiểm tra, thanh tra chuyên ngành, xử lý vi phạm hành chính, cơ sở dữ liệu quản lý nhân sự, tài sản và cơ sở dữ liệu khác phục vụ hoạt động của lực lượng Quản lý thị trường theo phân công của Bộ trưởng và quy định pháp luật; tổng hợp, báo cáo kết quả kiểm tra, thanh tra chuyên ngành, xử lý vi phạm hành chính của lực lượng Quản lý thị trường với cấp có thẩm quyền.</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10. Tổ chức nghiên cứu, ứng dụng khoa học và công nghệ, phương pháp quản lý tiên tiến trong hoạt động của lực lượng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11. Quản lý tổ chức bộ máy, biên chế; cấp Thẻ kiểm tra thị trường cho công chức làm nhiệm vụ kiểm tra thị trường theo quy định pháp luật; tổ chức thực hiện và kiểm tra lực lượng Quản lý thị trường thực hiện quy định về tổ chức, tiêu chuẩn công chức, chế độ trang phục, phù hiệu, cấp hiệu, cờ hiệu, biển hiệu, ấn chỉ và Thẻ kiểm tra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12. Thực hiện chế độ tiền lương và các chế độ, chính sách đãi ngộ, thi đua khen thưởng, kỷ luật, đào tạo, bồi dưỡng chuyên môn, nghiệp vụ đối với công chức, người lao động thuộc phạm vi quản lý của Tổng cục theo phân cấp của Bộ trưởng Bộ Công Thương và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13. Quản lý tài chính, tài sản và các nguồn lực khác được giao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phân cấp của Bộ trưởng Bộ Công Thương và theo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14. Thực hiện hoạt động hợp tác quốc tế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sự phân công của Bộ trưởng.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15. Thống kê nhà nước về hoạt động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16. Thực hiện các nhiệm vụ khác do Bộ trưởng Bộ Công Thương giao và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3. Cơ cấu tổ chức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 Các tổ chức Quản lý thị trường ở trung ương gồm:</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a) Văn phòng Tổng cục;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b) Vụ Tổ chức cán bộ;</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c) Vụ Tổng hợp - Kế hoạch - Tài chính;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d) Vụ Chính sách - Pháp chế;</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đ) Vụ Thanh tra - Kiểm tra;</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e) Cục Nghiệp vụ quản lý thị trường.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lastRenderedPageBreak/>
        <w:t>Văn phòng Tổng cục có 03 phòng và Trung tâm Thông tin truyền thông quản lý thị trường; Cục Nghiệp vụ quản lý thị trường có 04 phòng.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2. Các tổ chức Quản lý thị trường ở địa phương gồm:</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a) Cục Quản lý thị trường cấp tỉnh trực thuộc Tổng cục Quản lý thị trường gồm: Cục Quản lý thị trường tỉnh, thành phố trực thuộc trung ương; Cục Quản lý thị trường liên tỉnh, thành phố trực thuộc trung 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Cục Quản lý thị trường tỉnh, thành phố trực thuộc trung ương có 03 phòng; Cục Quản lý thị trường thành phố Hà Nội và Cục Quản lý thị trường thành phố Hồ Chí Minh có không quá 04 phòng; Cục Quản lý thị trường liên tỉnh, thành phố trực thuộc trung ương có không quá 05 phòng;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b) Đội Quản lý thị trường cấp huyện trực thuộc Cục Quản lý thị trường cấp tỉnh gồm: Đội Quản lý thị trường huyện, quận, thị xã, thành phố thuộc tỉnh, thành phố thuộc thành phố trực thuộc trung ương; Đội Quản lý thị trường liên huyện, quận, thị xã, thành phố thuộc tỉnh, thành phố thuộc thành phố trực thuộc trung ương; Đội Quản lý thị trường chuyên ngành; Đội Quản lý thị trường cơ động.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Đội Quản lý thị trường cấp huyện không tổ chức phòng;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c) Cục Quản lý thị trường cấp tỉnh và Đội Quản lý thị trường cấp huyện có tư cách pháp nhân, con dấu riêng và được mở tài khoản tại Kho bạc Nhà nước theo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4. Lãnh đạo Tổng cục</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 Tổng cục Quản lý thị trường có Tổng cục trưởng và không quá 04 Phó Tổng cục trưởng.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2. Tổng cục trưởng, Phó Tổng cục trưởng do Bộ trưởng Bộ Công Thương bổ nhiệm, miễn nhiệm và cách chức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quy định của pháp luật.</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3. Tổng cục trưởng là người đứng đầu Tổng cục, chịu trách nhiệm trước Bộ trưởng Bộ Công Thương và trước pháp luật về toàn bộ hoạt động của Tổng cục Quản lý thị trường. Các Phó Tổng cục trưởng chịu trách nhiệm trước Tổng cục trưởng và trước pháp luật về lĩnh vực công tác được phân công phụ trách.</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4. Tổng cục trưởng Tổng cục Quản lý thị trường trình Bộ trưởng Bộ Công Thương quy định chức năng, nhiệm vụ, quyền hạn, cơ cấu tổ chức của các đơn vị thuộc Tổng cục; bổ nhiệm, miễn nhiệm, điều động, luân chuyển, cách chức người, đứng đầu, cấp phó của người đứng đầu các tổ chức thuộc Tổng cục theo quy định của pháp luật và phân cấp của Bộ trưởng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5. Hiệu lực thi hành và điều khoản chuyển tiếp</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1. Quyết định này có hiệu lực thi hành kể từ ngày 12 tháng 10 năm 2018 và thay thế Quyết định số 19/2009/QĐ-TTg ngày 06 tháng 02 năm 2009 của Thủ tướng Chính phủ quy định chức năng, nhiệm vụ, quyền hạn và cơ cấu tổ chức của Cục Quản lý thị trường trực thuộc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2. Bộ trưởng Bộ Công Thương chịu trách nhiệm:</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a) Tiếp nhận, sắp xếp tổ chức bộ máy quản lý thị trường địa phương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mục tiêu, lộ trình thực hiện tại Đề án thành lập Tổng cục Quản lý thị trường phê duyệt kèm theo Quyết định này;</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b) Xây dựng Đề án thành lập 19 Cục Quản lý thị trường liên tỉnh trình Thủ tướng Chính phủ xem xét, quyết định trước tháng 12 năm 2019;</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 xml:space="preserve">c) Rà soát, giảm số lượng các Đội Quản lý thị trường cấp huyện xuống còn 376 Đội </w:t>
      </w:r>
      <w:proofErr w:type="gramStart"/>
      <w:r w:rsidRPr="00DC6151">
        <w:rPr>
          <w:rFonts w:eastAsia="Times New Roman" w:cs="Times New Roman"/>
          <w:sz w:val="20"/>
          <w:szCs w:val="20"/>
        </w:rPr>
        <w:t>theo</w:t>
      </w:r>
      <w:proofErr w:type="gramEnd"/>
      <w:r w:rsidRPr="00DC6151">
        <w:rPr>
          <w:rFonts w:eastAsia="Times New Roman" w:cs="Times New Roman"/>
          <w:sz w:val="20"/>
          <w:szCs w:val="20"/>
        </w:rPr>
        <w:t xml:space="preserve"> lộ trình đến năm 2020.</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3. Ủy ban nhân dân các tỉnh, thành phố trực thuộc trung ương chịu trách nhiệm phối hợp với Bộ Công Thương thực hiện chuyển giao nguyên trạng biên chế, trụ sở, cơ sở vật chất của Chi cục Quản lý thị trường tỉnh, thành phố trực thuộc trung ương về Bộ Công Thương.</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sz w:val="20"/>
          <w:szCs w:val="20"/>
        </w:rPr>
        <w:t>4. Các cơ quan quản lý thị trường ở địa phương thuộc Tổng cục Quản lý thị trường tiếp tục sử dụng kinh phí đã được cấp hết năm ngân sách 2018 và quyết toán với ngân sách địa phương; xây dựng dự toán tổng hợp vào ngân sách của Bộ Công Thương từ năm ngân sách 2019.</w:t>
      </w:r>
    </w:p>
    <w:p w:rsidR="00DC6151" w:rsidRPr="00DC6151" w:rsidRDefault="00DC6151" w:rsidP="00DC6151">
      <w:pPr>
        <w:spacing w:after="120" w:line="240" w:lineRule="auto"/>
        <w:ind w:firstLine="720"/>
        <w:jc w:val="both"/>
        <w:rPr>
          <w:rFonts w:eastAsia="Times New Roman" w:cs="Times New Roman"/>
          <w:sz w:val="24"/>
          <w:szCs w:val="24"/>
        </w:rPr>
      </w:pPr>
      <w:r w:rsidRPr="00DC6151">
        <w:rPr>
          <w:rFonts w:eastAsia="Times New Roman" w:cs="Times New Roman"/>
          <w:b/>
          <w:bCs/>
          <w:sz w:val="20"/>
          <w:szCs w:val="20"/>
        </w:rPr>
        <w:t>Điều 6. Tổ chức thực hiện</w:t>
      </w:r>
    </w:p>
    <w:p w:rsidR="00DC6151" w:rsidRPr="00DC6151" w:rsidRDefault="00DC6151" w:rsidP="00DC6151">
      <w:pPr>
        <w:spacing w:after="100" w:afterAutospacing="1" w:line="240" w:lineRule="auto"/>
        <w:ind w:firstLine="720"/>
        <w:jc w:val="both"/>
        <w:rPr>
          <w:rFonts w:eastAsia="Times New Roman" w:cs="Times New Roman"/>
          <w:sz w:val="24"/>
          <w:szCs w:val="24"/>
        </w:rPr>
      </w:pPr>
      <w:r w:rsidRPr="00DC6151">
        <w:rPr>
          <w:rFonts w:eastAsia="Times New Roman" w:cs="Times New Roman"/>
          <w:sz w:val="20"/>
          <w:szCs w:val="20"/>
        </w:rPr>
        <w:t>Bộ trưởng Bộ Công Thương, Bộ trưởng, Thủ trưởng cơ quan ngang bộ, Thủ trưởng cơ quan thuộc Chính phủ, Chủ tịch Ủy ban nhân dân tỉnh, thành phố trực thuộc trung ương, Tổng cục trưởng Tổng cục Quản lý thị trường và các cơ quan, tổ chức, cá nhân có liên quan chịu trách nhiệm thi hành Quyết định này</w:t>
      </w:r>
      <w:proofErr w:type="gramStart"/>
      <w:r w:rsidRPr="00DC6151">
        <w:rPr>
          <w:rFonts w:eastAsia="Times New Roman" w:cs="Times New Roman"/>
          <w:sz w:val="20"/>
          <w:szCs w:val="20"/>
        </w:rPr>
        <w:t>./</w:t>
      </w:r>
      <w:proofErr w:type="gramEnd"/>
      <w:r w:rsidRPr="00DC6151">
        <w:rPr>
          <w:rFonts w:eastAsia="Times New Roman" w:cs="Times New Roman"/>
          <w:sz w:val="20"/>
          <w:szCs w:val="20"/>
        </w:rPr>
        <w:t>.</w:t>
      </w:r>
    </w:p>
    <w:p w:rsidR="00DC6151" w:rsidRPr="00DC6151" w:rsidRDefault="00DC6151" w:rsidP="00DC6151">
      <w:pPr>
        <w:spacing w:after="100" w:afterAutospacing="1" w:line="240" w:lineRule="auto"/>
        <w:rPr>
          <w:rFonts w:eastAsia="Times New Roman" w:cs="Times New Roman"/>
          <w:sz w:val="24"/>
          <w:szCs w:val="24"/>
        </w:rPr>
      </w:pPr>
      <w:r w:rsidRPr="00DC6151">
        <w:rPr>
          <w:rFonts w:eastAsia="Times New Roman" w:cs="Times New Roman"/>
          <w:sz w:val="24"/>
          <w:szCs w:val="24"/>
        </w:rPr>
        <w:t> </w:t>
      </w:r>
    </w:p>
    <w:tbl>
      <w:tblPr>
        <w:tblW w:w="12075" w:type="dxa"/>
        <w:tblInd w:w="108" w:type="dxa"/>
        <w:tblCellMar>
          <w:left w:w="0" w:type="dxa"/>
          <w:right w:w="0" w:type="dxa"/>
        </w:tblCellMar>
        <w:tblLook w:val="04A0" w:firstRow="1" w:lastRow="0" w:firstColumn="1" w:lastColumn="0" w:noHBand="0" w:noVBand="1"/>
      </w:tblPr>
      <w:tblGrid>
        <w:gridCol w:w="7496"/>
        <w:gridCol w:w="4579"/>
      </w:tblGrid>
      <w:tr w:rsidR="00DC6151" w:rsidRPr="00DC6151" w:rsidTr="00DC6151">
        <w:tc>
          <w:tcPr>
            <w:tcW w:w="5820" w:type="dxa"/>
            <w:tcBorders>
              <w:top w:val="nil"/>
              <w:left w:val="nil"/>
              <w:bottom w:val="nil"/>
              <w:right w:val="nil"/>
            </w:tcBorders>
            <w:tcMar>
              <w:top w:w="0" w:type="dxa"/>
              <w:left w:w="108" w:type="dxa"/>
              <w:bottom w:w="0" w:type="dxa"/>
              <w:right w:w="108" w:type="dxa"/>
            </w:tcMar>
            <w:hideMark/>
          </w:tcPr>
          <w:p w:rsidR="00DC6151" w:rsidRPr="00DC6151" w:rsidRDefault="00DC6151" w:rsidP="00DC6151">
            <w:pPr>
              <w:spacing w:after="0" w:line="330" w:lineRule="atLeast"/>
              <w:rPr>
                <w:rFonts w:eastAsia="Times New Roman" w:cs="Times New Roman"/>
                <w:color w:val="222222"/>
                <w:sz w:val="24"/>
                <w:szCs w:val="24"/>
              </w:rPr>
            </w:pPr>
            <w:r w:rsidRPr="00DC6151">
              <w:rPr>
                <w:rFonts w:eastAsia="Times New Roman" w:cs="Times New Roman"/>
                <w:b/>
                <w:bCs/>
                <w:i/>
                <w:iCs/>
                <w:color w:val="222222"/>
                <w:sz w:val="20"/>
                <w:szCs w:val="20"/>
              </w:rPr>
              <w:lastRenderedPageBreak/>
              <w:t>Nơi nhận:</w:t>
            </w:r>
            <w:r w:rsidRPr="00DC6151">
              <w:rPr>
                <w:rFonts w:eastAsia="Times New Roman" w:cs="Times New Roman"/>
                <w:color w:val="222222"/>
                <w:sz w:val="24"/>
                <w:szCs w:val="24"/>
              </w:rPr>
              <w:br/>
            </w:r>
            <w:r w:rsidRPr="00DC6151">
              <w:rPr>
                <w:rFonts w:eastAsia="Times New Roman" w:cs="Times New Roman"/>
                <w:color w:val="222222"/>
                <w:sz w:val="20"/>
                <w:szCs w:val="20"/>
              </w:rPr>
              <w:t>- Ban Bí thư Trung ương Đảng;</w:t>
            </w:r>
            <w:r w:rsidRPr="00DC6151">
              <w:rPr>
                <w:rFonts w:eastAsia="Times New Roman" w:cs="Times New Roman"/>
                <w:color w:val="222222"/>
                <w:sz w:val="20"/>
                <w:szCs w:val="20"/>
              </w:rPr>
              <w:br/>
              <w:t>- Thủ tướng, các Phó Thủ tướng Chính phủ;</w:t>
            </w:r>
            <w:r w:rsidRPr="00DC6151">
              <w:rPr>
                <w:rFonts w:eastAsia="Times New Roman" w:cs="Times New Roman"/>
                <w:color w:val="222222"/>
                <w:sz w:val="20"/>
                <w:szCs w:val="20"/>
              </w:rPr>
              <w:br/>
              <w:t>- Các bộ, cơ quan ngang bộ, cơ quan thuộc Chính phủ;</w:t>
            </w:r>
            <w:r w:rsidRPr="00DC6151">
              <w:rPr>
                <w:rFonts w:eastAsia="Times New Roman" w:cs="Times New Roman"/>
                <w:color w:val="222222"/>
                <w:sz w:val="24"/>
                <w:szCs w:val="24"/>
              </w:rPr>
              <w:br/>
            </w:r>
            <w:r w:rsidRPr="00DC6151">
              <w:rPr>
                <w:rFonts w:eastAsia="Times New Roman" w:cs="Times New Roman"/>
                <w:color w:val="222222"/>
                <w:sz w:val="20"/>
                <w:szCs w:val="20"/>
              </w:rPr>
              <w:t>- HĐND, UBND các tỉnh, thành phố trực thuộc trung ương; </w:t>
            </w:r>
            <w:r w:rsidRPr="00DC6151">
              <w:rPr>
                <w:rFonts w:eastAsia="Times New Roman" w:cs="Times New Roman"/>
                <w:color w:val="222222"/>
                <w:sz w:val="24"/>
                <w:szCs w:val="24"/>
              </w:rPr>
              <w:br/>
            </w:r>
            <w:r w:rsidRPr="00DC6151">
              <w:rPr>
                <w:rFonts w:eastAsia="Times New Roman" w:cs="Times New Roman"/>
                <w:color w:val="222222"/>
                <w:sz w:val="20"/>
                <w:szCs w:val="20"/>
              </w:rPr>
              <w:t>- Văn phòng Trung ương và các Ban của Đảng;</w:t>
            </w:r>
            <w:r w:rsidRPr="00DC6151">
              <w:rPr>
                <w:rFonts w:eastAsia="Times New Roman" w:cs="Times New Roman"/>
                <w:color w:val="222222"/>
                <w:sz w:val="20"/>
                <w:szCs w:val="20"/>
              </w:rPr>
              <w:br/>
              <w:t>- Văn phòng Tổng Bí thư;</w:t>
            </w:r>
            <w:r w:rsidRPr="00DC6151">
              <w:rPr>
                <w:rFonts w:eastAsia="Times New Roman" w:cs="Times New Roman"/>
                <w:color w:val="222222"/>
                <w:sz w:val="20"/>
                <w:szCs w:val="20"/>
              </w:rPr>
              <w:br/>
              <w:t>- Văn phòng Chủ tịch nước;</w:t>
            </w:r>
            <w:r w:rsidRPr="00DC6151">
              <w:rPr>
                <w:rFonts w:eastAsia="Times New Roman" w:cs="Times New Roman"/>
                <w:color w:val="222222"/>
                <w:sz w:val="20"/>
                <w:szCs w:val="20"/>
              </w:rPr>
              <w:br/>
              <w:t>- Hội đồng dân tộc và các Ủy ban của Quốc hội;</w:t>
            </w:r>
            <w:r w:rsidRPr="00DC6151">
              <w:rPr>
                <w:rFonts w:eastAsia="Times New Roman" w:cs="Times New Roman"/>
                <w:color w:val="222222"/>
                <w:sz w:val="20"/>
                <w:szCs w:val="20"/>
              </w:rPr>
              <w:br/>
              <w:t>- Văn phòng Quốc hội;</w:t>
            </w:r>
            <w:r w:rsidRPr="00DC6151">
              <w:rPr>
                <w:rFonts w:eastAsia="Times New Roman" w:cs="Times New Roman"/>
                <w:color w:val="222222"/>
                <w:sz w:val="20"/>
                <w:szCs w:val="20"/>
              </w:rPr>
              <w:br/>
              <w:t>- Tòa án nhân dân tối cao;</w:t>
            </w:r>
            <w:r w:rsidRPr="00DC6151">
              <w:rPr>
                <w:rFonts w:eastAsia="Times New Roman" w:cs="Times New Roman"/>
                <w:color w:val="222222"/>
                <w:sz w:val="20"/>
                <w:szCs w:val="20"/>
              </w:rPr>
              <w:br/>
              <w:t>- Viện kiểm sát nhân dân tối cao;</w:t>
            </w:r>
            <w:r w:rsidRPr="00DC6151">
              <w:rPr>
                <w:rFonts w:eastAsia="Times New Roman" w:cs="Times New Roman"/>
                <w:color w:val="222222"/>
                <w:sz w:val="20"/>
                <w:szCs w:val="20"/>
              </w:rPr>
              <w:br/>
              <w:t>- Kiểm toán nhà nước;</w:t>
            </w:r>
            <w:r w:rsidRPr="00DC6151">
              <w:rPr>
                <w:rFonts w:eastAsia="Times New Roman" w:cs="Times New Roman"/>
                <w:color w:val="222222"/>
                <w:sz w:val="20"/>
                <w:szCs w:val="20"/>
              </w:rPr>
              <w:br/>
              <w:t>- Ủy ban Giám sát tài chính Quốc gia;</w:t>
            </w:r>
            <w:r w:rsidRPr="00DC6151">
              <w:rPr>
                <w:rFonts w:eastAsia="Times New Roman" w:cs="Times New Roman"/>
                <w:color w:val="222222"/>
                <w:sz w:val="20"/>
                <w:szCs w:val="20"/>
              </w:rPr>
              <w:br/>
              <w:t>- Ngân hàng Chính sách xã hội;</w:t>
            </w:r>
            <w:r w:rsidRPr="00DC6151">
              <w:rPr>
                <w:rFonts w:eastAsia="Times New Roman" w:cs="Times New Roman"/>
                <w:color w:val="222222"/>
                <w:sz w:val="20"/>
                <w:szCs w:val="20"/>
              </w:rPr>
              <w:br/>
              <w:t>- Ngân hàng Phát triển Việt Nam;</w:t>
            </w:r>
            <w:r w:rsidRPr="00DC6151">
              <w:rPr>
                <w:rFonts w:eastAsia="Times New Roman" w:cs="Times New Roman"/>
                <w:color w:val="222222"/>
                <w:sz w:val="20"/>
                <w:szCs w:val="20"/>
              </w:rPr>
              <w:br/>
              <w:t>- Ủy ban trung ương Mặt trận Tổ quốc Việt Nam;</w:t>
            </w:r>
            <w:r w:rsidRPr="00DC6151">
              <w:rPr>
                <w:rFonts w:eastAsia="Times New Roman" w:cs="Times New Roman"/>
                <w:color w:val="222222"/>
                <w:sz w:val="20"/>
                <w:szCs w:val="20"/>
              </w:rPr>
              <w:br/>
              <w:t>- Cơ quan trung ương của các đoàn thể;</w:t>
            </w:r>
            <w:r w:rsidRPr="00DC6151">
              <w:rPr>
                <w:rFonts w:eastAsia="Times New Roman" w:cs="Times New Roman"/>
                <w:color w:val="222222"/>
                <w:sz w:val="20"/>
                <w:szCs w:val="20"/>
              </w:rPr>
              <w:br/>
              <w:t>- Tổng cục Quản lý thị trường;</w:t>
            </w:r>
            <w:r w:rsidRPr="00DC6151">
              <w:rPr>
                <w:rFonts w:eastAsia="Times New Roman" w:cs="Times New Roman"/>
                <w:color w:val="222222"/>
                <w:sz w:val="20"/>
                <w:szCs w:val="20"/>
              </w:rPr>
              <w:br/>
              <w:t>- VPCP: BTCN, các PCN, Trợ lý TTg, TGĐ Cổng TTĐT,</w:t>
            </w:r>
            <w:r w:rsidRPr="00DC6151">
              <w:rPr>
                <w:rFonts w:eastAsia="Times New Roman" w:cs="Times New Roman"/>
                <w:color w:val="222222"/>
                <w:sz w:val="24"/>
                <w:szCs w:val="24"/>
              </w:rPr>
              <w:br/>
            </w:r>
            <w:r w:rsidRPr="00DC6151">
              <w:rPr>
                <w:rFonts w:eastAsia="Times New Roman" w:cs="Times New Roman"/>
                <w:color w:val="222222"/>
                <w:sz w:val="20"/>
                <w:szCs w:val="20"/>
              </w:rPr>
              <w:t>các Vụ, Cục, đơn vị trực thuộc, Công báo;</w:t>
            </w:r>
            <w:r w:rsidRPr="00DC6151">
              <w:rPr>
                <w:rFonts w:eastAsia="Times New Roman" w:cs="Times New Roman"/>
                <w:color w:val="222222"/>
                <w:sz w:val="20"/>
                <w:szCs w:val="20"/>
              </w:rPr>
              <w:br/>
              <w:t>- Lưu: VT, TCCV (2). </w:t>
            </w:r>
            <w:r w:rsidRPr="00DC6151">
              <w:rPr>
                <w:rFonts w:eastAsia="Times New Roman" w:cs="Times New Roman"/>
                <w:color w:val="222222"/>
                <w:sz w:val="20"/>
                <w:szCs w:val="20"/>
                <w:vertAlign w:val="subscript"/>
              </w:rPr>
              <w:t>XH</w:t>
            </w:r>
          </w:p>
        </w:tc>
        <w:tc>
          <w:tcPr>
            <w:tcW w:w="3555" w:type="dxa"/>
            <w:tcBorders>
              <w:top w:val="nil"/>
              <w:left w:val="nil"/>
              <w:bottom w:val="nil"/>
              <w:right w:val="nil"/>
            </w:tcBorders>
            <w:tcMar>
              <w:top w:w="0" w:type="dxa"/>
              <w:left w:w="108" w:type="dxa"/>
              <w:bottom w:w="0" w:type="dxa"/>
              <w:right w:w="108" w:type="dxa"/>
            </w:tcMar>
            <w:hideMark/>
          </w:tcPr>
          <w:p w:rsidR="00DC6151" w:rsidRPr="00DC6151" w:rsidRDefault="00DC6151" w:rsidP="00DC6151">
            <w:pPr>
              <w:spacing w:after="0" w:line="330" w:lineRule="atLeast"/>
              <w:rPr>
                <w:rFonts w:eastAsia="Times New Roman" w:cs="Times New Roman"/>
                <w:color w:val="222222"/>
                <w:sz w:val="24"/>
                <w:szCs w:val="24"/>
              </w:rPr>
            </w:pPr>
            <w:r w:rsidRPr="00DC6151">
              <w:rPr>
                <w:rFonts w:eastAsia="Times New Roman" w:cs="Times New Roman"/>
                <w:b/>
                <w:bCs/>
                <w:color w:val="222222"/>
                <w:sz w:val="20"/>
                <w:szCs w:val="20"/>
              </w:rPr>
              <w:t>THỦ TƯỚNG</w:t>
            </w:r>
            <w:r w:rsidRPr="00DC6151">
              <w:rPr>
                <w:rFonts w:eastAsia="Times New Roman" w:cs="Times New Roman"/>
                <w:color w:val="222222"/>
                <w:sz w:val="24"/>
                <w:szCs w:val="24"/>
              </w:rPr>
              <w:br/>
            </w:r>
            <w:r w:rsidRPr="00DC6151">
              <w:rPr>
                <w:rFonts w:eastAsia="Times New Roman" w:cs="Times New Roman"/>
                <w:color w:val="222222"/>
                <w:sz w:val="24"/>
                <w:szCs w:val="24"/>
              </w:rPr>
              <w:br/>
            </w:r>
            <w:r w:rsidRPr="00DC6151">
              <w:rPr>
                <w:rFonts w:eastAsia="Times New Roman" w:cs="Times New Roman"/>
                <w:color w:val="222222"/>
                <w:sz w:val="24"/>
                <w:szCs w:val="24"/>
              </w:rPr>
              <w:br/>
            </w:r>
            <w:r w:rsidRPr="00DC6151">
              <w:rPr>
                <w:rFonts w:eastAsia="Times New Roman" w:cs="Times New Roman"/>
                <w:color w:val="222222"/>
                <w:sz w:val="24"/>
                <w:szCs w:val="24"/>
              </w:rPr>
              <w:br/>
            </w:r>
          </w:p>
          <w:p w:rsidR="00DC6151" w:rsidRPr="00DC6151" w:rsidRDefault="00DC6151" w:rsidP="00DC6151">
            <w:pPr>
              <w:spacing w:after="0" w:line="330" w:lineRule="atLeast"/>
              <w:rPr>
                <w:rFonts w:eastAsia="Times New Roman" w:cs="Times New Roman"/>
                <w:color w:val="222222"/>
                <w:sz w:val="24"/>
                <w:szCs w:val="24"/>
              </w:rPr>
            </w:pPr>
            <w:r w:rsidRPr="00DC6151">
              <w:rPr>
                <w:rFonts w:eastAsia="Times New Roman" w:cs="Times New Roman"/>
                <w:b/>
                <w:bCs/>
                <w:color w:val="222222"/>
                <w:sz w:val="20"/>
                <w:szCs w:val="20"/>
              </w:rPr>
              <w:t>N</w:t>
            </w:r>
            <w:bookmarkStart w:id="0" w:name="_GoBack"/>
            <w:bookmarkEnd w:id="0"/>
            <w:r w:rsidRPr="00DC6151">
              <w:rPr>
                <w:rFonts w:eastAsia="Times New Roman" w:cs="Times New Roman"/>
                <w:b/>
                <w:bCs/>
                <w:color w:val="222222"/>
                <w:sz w:val="20"/>
                <w:szCs w:val="20"/>
              </w:rPr>
              <w:t>guyễn Xuân Phúc</w:t>
            </w:r>
          </w:p>
        </w:tc>
      </w:tr>
    </w:tbl>
    <w:p w:rsidR="00DC6151" w:rsidRPr="00DC6151" w:rsidRDefault="00DC6151" w:rsidP="00DC6151">
      <w:pPr>
        <w:spacing w:after="100" w:afterAutospacing="1" w:line="240" w:lineRule="auto"/>
        <w:rPr>
          <w:rFonts w:eastAsia="Times New Roman" w:cs="Times New Roman"/>
          <w:sz w:val="24"/>
          <w:szCs w:val="24"/>
        </w:rPr>
      </w:pPr>
      <w:r w:rsidRPr="00DC6151">
        <w:rPr>
          <w:rFonts w:eastAsia="Times New Roman" w:cs="Times New Roman"/>
          <w:sz w:val="24"/>
          <w:szCs w:val="24"/>
        </w:rPr>
        <w:t> </w:t>
      </w:r>
    </w:p>
    <w:p w:rsidR="00DC6151" w:rsidRPr="00DC6151" w:rsidRDefault="00DC6151" w:rsidP="00DC6151">
      <w:pPr>
        <w:spacing w:after="100" w:afterAutospacing="1" w:line="240" w:lineRule="auto"/>
        <w:rPr>
          <w:rFonts w:eastAsia="Times New Roman" w:cs="Times New Roman"/>
          <w:sz w:val="24"/>
          <w:szCs w:val="24"/>
        </w:rPr>
      </w:pPr>
      <w:r w:rsidRPr="00DC6151">
        <w:rPr>
          <w:rFonts w:eastAsia="Times New Roman" w:cs="Times New Roman"/>
          <w:sz w:val="24"/>
          <w:szCs w:val="24"/>
        </w:rPr>
        <w:t> </w:t>
      </w:r>
    </w:p>
    <w:p w:rsidR="00F94D89" w:rsidRPr="00DC6151" w:rsidRDefault="00F94D89">
      <w:pPr>
        <w:rPr>
          <w:rFonts w:cs="Times New Roman"/>
        </w:rPr>
      </w:pPr>
    </w:p>
    <w:sectPr w:rsidR="00F94D89" w:rsidRPr="00DC6151" w:rsidSect="004844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14"/>
    <w:rsid w:val="00484455"/>
    <w:rsid w:val="006A4014"/>
    <w:rsid w:val="00DC6151"/>
    <w:rsid w:val="00F9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ABB64-8EE8-4284-93B2-AFCA1B1B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nghi-dinh-98-2017-nd-cp-chinh-phu-116422-d1.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luatvietnam.vn/co-cau-to-chuc/nghi-dinh-123-2016-nd-cp-chinh-phu-108179-d1.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co-cau-to-chuc/nghi-dinh-123-2016-nd-cp-chinh-phu-108179-d1.html" TargetMode="External"/><Relationship Id="rId11" Type="http://schemas.openxmlformats.org/officeDocument/2006/relationships/customXml" Target="../customXml/item1.xml"/><Relationship Id="rId5" Type="http://schemas.openxmlformats.org/officeDocument/2006/relationships/hyperlink" Target="https://luatvietnam.vn/co-cau-to-chuc/nghi-dinh-123-2016-nd-cp-chinh-phu-108179-d1.html" TargetMode="External"/><Relationship Id="rId10" Type="http://schemas.openxmlformats.org/officeDocument/2006/relationships/theme" Target="theme/theme1.xml"/><Relationship Id="rId4" Type="http://schemas.openxmlformats.org/officeDocument/2006/relationships/hyperlink" Target="https://luatvietnam.vn/co-cau-to-chuc/luat-76-2015-qh13-quoc-hoi-96361-d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7F08D-71E1-4847-B08A-7D766875035F}"/>
</file>

<file path=customXml/itemProps2.xml><?xml version="1.0" encoding="utf-8"?>
<ds:datastoreItem xmlns:ds="http://schemas.openxmlformats.org/officeDocument/2006/customXml" ds:itemID="{165ECA23-C96F-4CC5-8A95-538A7D7A1B62}"/>
</file>

<file path=customXml/itemProps3.xml><?xml version="1.0" encoding="utf-8"?>
<ds:datastoreItem xmlns:ds="http://schemas.openxmlformats.org/officeDocument/2006/customXml" ds:itemID="{2CC2C6F7-0724-485F-876C-C12945CA6514}"/>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Ngan Hue</dc:creator>
  <cp:keywords/>
  <dc:description/>
  <cp:lastModifiedBy>Nguyen Ngan Hue</cp:lastModifiedBy>
  <cp:revision>2</cp:revision>
  <dcterms:created xsi:type="dcterms:W3CDTF">2019-08-05T08:12:00Z</dcterms:created>
  <dcterms:modified xsi:type="dcterms:W3CDTF">2019-08-05T08:13:00Z</dcterms:modified>
</cp:coreProperties>
</file>