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jc w:val="center"/>
        <w:tblInd w:w="-1253" w:type="dxa"/>
        <w:tblLook w:val="01E0" w:firstRow="1" w:lastRow="1" w:firstColumn="1" w:lastColumn="1" w:noHBand="0" w:noVBand="0"/>
      </w:tblPr>
      <w:tblGrid>
        <w:gridCol w:w="4152"/>
        <w:gridCol w:w="5353"/>
      </w:tblGrid>
      <w:tr w:rsidR="00302A5E">
        <w:trPr>
          <w:trHeight w:val="1418"/>
          <w:jc w:val="center"/>
        </w:trPr>
        <w:tc>
          <w:tcPr>
            <w:tcW w:w="4152" w:type="dxa"/>
            <w:shd w:val="clear" w:color="auto" w:fill="auto"/>
          </w:tcPr>
          <w:p w:rsidR="00302A5E" w:rsidRDefault="002D1BE4">
            <w:pPr>
              <w:jc w:val="center"/>
              <w:rPr>
                <w:b/>
              </w:rPr>
            </w:pPr>
            <w:bookmarkStart w:id="0" w:name="_GoBack"/>
            <w:bookmarkEnd w:id="0"/>
            <w:r>
              <w:rPr>
                <w:b/>
              </w:rPr>
              <w:t>ỦY BAN NHÂN DÂN</w:t>
            </w:r>
          </w:p>
          <w:p w:rsidR="00302A5E" w:rsidRDefault="002D1BE4">
            <w:pPr>
              <w:jc w:val="center"/>
              <w:rPr>
                <w:b/>
                <w:sz w:val="26"/>
                <w:szCs w:val="26"/>
              </w:rPr>
            </w:pPr>
            <w:r>
              <w:rPr>
                <w:b/>
              </w:rPr>
              <w:t>TỈNH LONG AN</w:t>
            </w:r>
          </w:p>
          <w:p w:rsidR="00302A5E" w:rsidRDefault="002D1BE4">
            <w:pPr>
              <w:tabs>
                <w:tab w:val="left" w:pos="2805"/>
              </w:tabs>
              <w:jc w:val="center"/>
              <w:rPr>
                <w:lang w:val="vi-VN"/>
              </w:rPr>
            </w:pPr>
            <w:r>
              <w:rPr>
                <w:b/>
                <w:noProof/>
              </w:rPr>
              <mc:AlternateContent>
                <mc:Choice Requires="wpg">
                  <w:drawing>
                    <wp:anchor distT="0" distB="0" distL="114300" distR="114300" simplePos="0" relativeHeight="251657728" behindDoc="0" locked="0" layoutInCell="1" allowOverlap="1">
                      <wp:simplePos x="0" y="0"/>
                      <wp:positionH relativeFrom="column">
                        <wp:posOffset>809625</wp:posOffset>
                      </wp:positionH>
                      <wp:positionV relativeFrom="paragraph">
                        <wp:posOffset>41275</wp:posOffset>
                      </wp:positionV>
                      <wp:extent cx="841375" cy="0"/>
                      <wp:effectExtent l="9525" t="12700" r="6350" b="6350"/>
                      <wp:wrapNone/>
                      <wp:docPr id="1" name="Line 10"/>
                      <wp:cNvGraphicFramePr/>
                      <a:graphic xmlns:a="http://schemas.openxmlformats.org/drawingml/2006/main">
                        <a:graphicData uri="http://schemas.microsoft.com/office/word/2010/wordprocessingShape">
                          <wps:wsp>
                            <wps:cNvCnPr/>
                            <wps:spPr bwMode="auto">
                              <a:xfrm>
                                <a:off x="0" y="0"/>
                                <a:ext cx="8413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0.0pt;z-index:251657728;o:allowoverlap:true;o:allowincell:true;mso-position-horizontal-relative:text;margin-left:63.8pt;mso-position-horizontal:absolute;mso-position-vertical-relative:text;margin-top:3.3pt;mso-position-vertical:absolute;width:66.3pt;height:0.0pt;" coordsize="100000,100000" path="" filled="f" strokecolor="#000000" strokeweight="0.75pt">
                      <v:path textboxrect="0,0,0,0"/>
                    </v:shape>
                  </w:pict>
                </mc:Fallback>
              </mc:AlternateContent>
            </w:r>
          </w:p>
          <w:p w:rsidR="00302A5E" w:rsidRDefault="002D1BE4">
            <w:pPr>
              <w:jc w:val="center"/>
              <w:rPr>
                <w:sz w:val="28"/>
                <w:szCs w:val="28"/>
              </w:rPr>
            </w:pPr>
            <w:r>
              <w:rPr>
                <w:sz w:val="28"/>
                <w:szCs w:val="28"/>
                <w:lang w:val="vi-VN"/>
              </w:rPr>
              <w:t>Số</w:t>
            </w:r>
            <w:r>
              <w:rPr>
                <w:sz w:val="28"/>
                <w:szCs w:val="28"/>
              </w:rPr>
              <w:t>: 58</w:t>
            </w:r>
            <w:r>
              <w:rPr>
                <w:sz w:val="28"/>
                <w:szCs w:val="28"/>
                <w:lang w:val="vi-VN"/>
              </w:rPr>
              <w:t xml:space="preserve"> </w:t>
            </w:r>
            <w:r>
              <w:rPr>
                <w:sz w:val="28"/>
                <w:szCs w:val="28"/>
              </w:rPr>
              <w:t>/2019</w:t>
            </w:r>
            <w:r>
              <w:rPr>
                <w:sz w:val="28"/>
                <w:szCs w:val="28"/>
                <w:lang w:val="vi-VN"/>
              </w:rPr>
              <w:t>/</w:t>
            </w:r>
            <w:r>
              <w:rPr>
                <w:sz w:val="28"/>
                <w:szCs w:val="28"/>
              </w:rPr>
              <w:t>QĐ-UBND</w:t>
            </w:r>
          </w:p>
          <w:p w:rsidR="00302A5E" w:rsidRDefault="00302A5E">
            <w:pPr>
              <w:jc w:val="center"/>
            </w:pPr>
          </w:p>
        </w:tc>
        <w:tc>
          <w:tcPr>
            <w:tcW w:w="5353" w:type="dxa"/>
            <w:shd w:val="clear" w:color="auto" w:fill="auto"/>
          </w:tcPr>
          <w:p w:rsidR="00302A5E" w:rsidRDefault="002D1BE4">
            <w:pPr>
              <w:jc w:val="center"/>
              <w:rPr>
                <w:b/>
                <w:lang w:val="vi-VN"/>
              </w:rPr>
            </w:pPr>
            <w:r>
              <w:rPr>
                <w:b/>
                <w:lang w:val="vi-VN"/>
              </w:rPr>
              <w:t>CỘNG HÒA XÃ HỘI CHỦ NGHĨA VIỆT NAM</w:t>
            </w:r>
          </w:p>
          <w:p w:rsidR="00302A5E" w:rsidRDefault="002D1BE4">
            <w:pPr>
              <w:jc w:val="center"/>
              <w:rPr>
                <w:b/>
                <w:sz w:val="26"/>
                <w:szCs w:val="26"/>
                <w:lang w:val="vi-VN"/>
              </w:rPr>
            </w:pPr>
            <w:r>
              <w:rPr>
                <w:b/>
                <w:sz w:val="26"/>
                <w:szCs w:val="26"/>
                <w:lang w:val="vi-VN"/>
              </w:rPr>
              <w:t>Độc lập - Tự do - Hạnh phúc</w:t>
            </w:r>
          </w:p>
          <w:p w:rsidR="00302A5E" w:rsidRDefault="002D1BE4">
            <w:pPr>
              <w:jc w:val="center"/>
              <w:rPr>
                <w:b/>
                <w:sz w:val="26"/>
                <w:szCs w:val="26"/>
              </w:rPr>
            </w:pPr>
            <w:r>
              <w:rPr>
                <w:noProof/>
                <w:sz w:val="26"/>
                <w:szCs w:val="26"/>
              </w:rPr>
              <mc:AlternateContent>
                <mc:Choice Requires="wpg">
                  <w:drawing>
                    <wp:anchor distT="0" distB="0" distL="114300" distR="114300" simplePos="0" relativeHeight="251656704" behindDoc="0" locked="0" layoutInCell="1" allowOverlap="1">
                      <wp:simplePos x="0" y="0"/>
                      <wp:positionH relativeFrom="column">
                        <wp:posOffset>903605</wp:posOffset>
                      </wp:positionH>
                      <wp:positionV relativeFrom="paragraph">
                        <wp:posOffset>45085</wp:posOffset>
                      </wp:positionV>
                      <wp:extent cx="1447800" cy="0"/>
                      <wp:effectExtent l="8255" t="6985" r="10795" b="12065"/>
                      <wp:wrapNone/>
                      <wp:docPr id="2" name="Line 9"/>
                      <wp:cNvGraphicFramePr/>
                      <a:graphic xmlns:a="http://schemas.openxmlformats.org/drawingml/2006/main">
                        <a:graphicData uri="http://schemas.microsoft.com/office/word/2010/wordprocessingShape">
                          <wps:wsp>
                            <wps:cNvCnPr/>
                            <wps:spPr bwMode="auto">
                              <a:xfrm>
                                <a:off x="0" y="0"/>
                                <a:ext cx="144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56704;o:allowoverlap:true;o:allowincell:true;mso-position-horizontal-relative:text;margin-left:71.1pt;mso-position-horizontal:absolute;mso-position-vertical-relative:text;margin-top:3.5pt;mso-position-vertical:absolute;width:114.0pt;height:0.0pt;" coordsize="100000,100000" path="" filled="f" strokecolor="#000000" strokeweight="0.75pt">
                      <v:path textboxrect="0,0,0,0"/>
                    </v:shape>
                  </w:pict>
                </mc:Fallback>
              </mc:AlternateContent>
            </w:r>
          </w:p>
          <w:p w:rsidR="00302A5E" w:rsidRDefault="002D1BE4">
            <w:pPr>
              <w:jc w:val="center"/>
            </w:pPr>
            <w:r>
              <w:rPr>
                <w:i/>
                <w:sz w:val="28"/>
                <w:szCs w:val="28"/>
                <w:lang w:val="vi-VN"/>
              </w:rPr>
              <w:t>Long An, ngà</w:t>
            </w:r>
            <w:r>
              <w:rPr>
                <w:i/>
                <w:sz w:val="28"/>
                <w:szCs w:val="28"/>
              </w:rPr>
              <w:t>y</w:t>
            </w:r>
            <w:r>
              <w:rPr>
                <w:i/>
                <w:sz w:val="28"/>
                <w:szCs w:val="28"/>
                <w:lang w:val="vi-VN"/>
              </w:rPr>
              <w:t xml:space="preserve">  </w:t>
            </w:r>
            <w:r>
              <w:rPr>
                <w:i/>
                <w:sz w:val="28"/>
                <w:szCs w:val="28"/>
              </w:rPr>
              <w:t>11</w:t>
            </w:r>
            <w:r>
              <w:rPr>
                <w:i/>
                <w:sz w:val="28"/>
                <w:szCs w:val="28"/>
                <w:lang w:val="vi-VN"/>
              </w:rPr>
              <w:t xml:space="preserve"> tháng </w:t>
            </w:r>
            <w:r>
              <w:rPr>
                <w:i/>
                <w:sz w:val="28"/>
                <w:szCs w:val="28"/>
              </w:rPr>
              <w:t xml:space="preserve">  12 </w:t>
            </w:r>
            <w:r>
              <w:rPr>
                <w:i/>
                <w:sz w:val="28"/>
                <w:szCs w:val="28"/>
                <w:lang w:val="vi-VN"/>
              </w:rPr>
              <w:t xml:space="preserve"> năm 201</w:t>
            </w:r>
            <w:r>
              <w:rPr>
                <w:i/>
                <w:sz w:val="28"/>
                <w:szCs w:val="28"/>
              </w:rPr>
              <w:t>9</w:t>
            </w:r>
          </w:p>
        </w:tc>
      </w:tr>
    </w:tbl>
    <w:p w:rsidR="00302A5E" w:rsidRDefault="00302A5E">
      <w:pPr>
        <w:ind w:firstLine="709"/>
        <w:jc w:val="center"/>
        <w:rPr>
          <w:b/>
          <w:sz w:val="28"/>
          <w:szCs w:val="28"/>
        </w:rPr>
      </w:pPr>
      <w:bookmarkStart w:id="1" w:name="OLE_LINK1"/>
      <w:bookmarkStart w:id="2" w:name="OLE_LINK2"/>
    </w:p>
    <w:p w:rsidR="00302A5E" w:rsidRDefault="002D1BE4">
      <w:pPr>
        <w:jc w:val="center"/>
        <w:rPr>
          <w:b/>
          <w:sz w:val="28"/>
          <w:szCs w:val="28"/>
        </w:rPr>
      </w:pPr>
      <w:r>
        <w:rPr>
          <w:b/>
          <w:sz w:val="28"/>
          <w:szCs w:val="28"/>
        </w:rPr>
        <w:t>QUYẾT ĐỊNH</w:t>
      </w:r>
      <w:bookmarkEnd w:id="1"/>
      <w:bookmarkEnd w:id="2"/>
    </w:p>
    <w:p w:rsidR="00302A5E" w:rsidRDefault="002D1BE4">
      <w:pPr>
        <w:jc w:val="center"/>
        <w:rPr>
          <w:b/>
          <w:sz w:val="28"/>
          <w:szCs w:val="28"/>
        </w:rPr>
      </w:pPr>
      <w:r>
        <w:rPr>
          <w:b/>
          <w:sz w:val="28"/>
          <w:szCs w:val="28"/>
        </w:rPr>
        <w:t xml:space="preserve">Triển khai thực hiện Nghị quyết số 12/2019/NQ-HĐND </w:t>
      </w:r>
      <w:r>
        <w:rPr>
          <w:b/>
          <w:sz w:val="28"/>
          <w:szCs w:val="28"/>
        </w:rPr>
        <w:t>ngày 29/10/2019 của HĐND tỉnh quy định một số nội dung chi, mức chi và định mức</w:t>
      </w:r>
    </w:p>
    <w:p w:rsidR="00302A5E" w:rsidRDefault="002D1BE4">
      <w:pPr>
        <w:jc w:val="center"/>
        <w:rPr>
          <w:b/>
          <w:sz w:val="28"/>
          <w:szCs w:val="28"/>
        </w:rPr>
      </w:pPr>
      <w:r>
        <w:rPr>
          <w:b/>
          <w:sz w:val="28"/>
          <w:szCs w:val="28"/>
        </w:rPr>
        <w:t xml:space="preserve"> phân bổ kinh phí nguồn kinh phí đảm bảo trật tự an toàn giao thông</w:t>
      </w:r>
    </w:p>
    <w:p w:rsidR="00302A5E" w:rsidRDefault="002D1BE4">
      <w:pPr>
        <w:jc w:val="center"/>
        <w:rPr>
          <w:b/>
          <w:sz w:val="28"/>
          <w:szCs w:val="28"/>
        </w:rPr>
      </w:pPr>
      <w:r>
        <w:rPr>
          <w:b/>
          <w:sz w:val="28"/>
          <w:szCs w:val="28"/>
        </w:rPr>
        <w:t>trên địa bàn tỉnh Long An</w:t>
      </w:r>
    </w:p>
    <w:p w:rsidR="00302A5E" w:rsidRDefault="002D1BE4">
      <w:pPr>
        <w:ind w:firstLine="709"/>
        <w:jc w:val="center"/>
        <w:rPr>
          <w:b/>
          <w:sz w:val="28"/>
          <w:szCs w:val="28"/>
        </w:rPr>
      </w:pPr>
      <w:r>
        <w:rPr>
          <w:b/>
          <w:noProof/>
          <w:sz w:val="28"/>
          <w:szCs w:val="28"/>
        </w:rPr>
        <mc:AlternateContent>
          <mc:Choice Requires="wpg">
            <w:drawing>
              <wp:anchor distT="0" distB="0" distL="114300" distR="114300" simplePos="0" relativeHeight="251658752" behindDoc="0" locked="0" layoutInCell="1" allowOverlap="1">
                <wp:simplePos x="0" y="0"/>
                <wp:positionH relativeFrom="column">
                  <wp:posOffset>1840865</wp:posOffset>
                </wp:positionH>
                <wp:positionV relativeFrom="paragraph">
                  <wp:posOffset>36830</wp:posOffset>
                </wp:positionV>
                <wp:extent cx="1969135" cy="0"/>
                <wp:effectExtent l="12065" t="8255" r="9525" b="10795"/>
                <wp:wrapNone/>
                <wp:docPr id="3" name="AutoShape 11"/>
                <wp:cNvGraphicFramePr/>
                <a:graphic xmlns:a="http://schemas.openxmlformats.org/drawingml/2006/main">
                  <a:graphicData uri="http://schemas.microsoft.com/office/word/2010/wordprocessingShape">
                    <wps:wsp>
                      <wps:cNvCnPr/>
                      <wps:spPr bwMode="auto">
                        <a:xfrm>
                          <a:off x="0" y="0"/>
                          <a:ext cx="19691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2" o:spid="_x0000_s2" o:spt="32" style="position:absolute;mso-wrap-distance-left:9.0pt;mso-wrap-distance-top:0.0pt;mso-wrap-distance-right:9.0pt;mso-wrap-distance-bottom:0.0pt;z-index:251658752;o:allowoverlap:true;o:allowincell:true;mso-position-horizontal-relative:text;margin-left:144.9pt;mso-position-horizontal:absolute;mso-position-vertical-relative:text;margin-top:2.9pt;mso-position-vertical:absolute;width:155.0pt;height:0.0pt;" coordsize="100000,100000" path="m0,0l100000,4558183nfe" filled="f" strokecolor="#000000" strokeweight="0.75pt">
                <v:path textboxrect="0,0,100000,100000"/>
              </v:shape>
            </w:pict>
          </mc:Fallback>
        </mc:AlternateContent>
      </w:r>
    </w:p>
    <w:p w:rsidR="00302A5E" w:rsidRDefault="002D1BE4">
      <w:pPr>
        <w:ind w:firstLine="709"/>
        <w:jc w:val="center"/>
        <w:rPr>
          <w:b/>
          <w:sz w:val="28"/>
          <w:szCs w:val="28"/>
        </w:rPr>
      </w:pPr>
      <w:r>
        <w:rPr>
          <w:b/>
          <w:sz w:val="28"/>
          <w:szCs w:val="28"/>
        </w:rPr>
        <w:t>ỦY BAN NHÂN DÂN TỈNH LONG AN</w:t>
      </w:r>
    </w:p>
    <w:p w:rsidR="00302A5E" w:rsidRDefault="002D1BE4">
      <w:pPr>
        <w:spacing w:before="80" w:after="80"/>
        <w:ind w:firstLine="709"/>
        <w:jc w:val="both"/>
        <w:rPr>
          <w:i/>
          <w:sz w:val="28"/>
          <w:szCs w:val="28"/>
        </w:rPr>
      </w:pPr>
      <w:r>
        <w:rPr>
          <w:i/>
          <w:sz w:val="28"/>
          <w:szCs w:val="28"/>
        </w:rPr>
        <w:t>Căn cứ Luật Tổ chức chính quyền địa phương ngày 19</w:t>
      </w:r>
      <w:r>
        <w:rPr>
          <w:i/>
          <w:sz w:val="28"/>
          <w:szCs w:val="28"/>
        </w:rPr>
        <w:t>/6/2015;</w:t>
      </w:r>
    </w:p>
    <w:p w:rsidR="00302A5E" w:rsidRDefault="002D1BE4">
      <w:pPr>
        <w:spacing w:before="80" w:after="80"/>
        <w:ind w:firstLine="709"/>
        <w:jc w:val="both"/>
        <w:rPr>
          <w:i/>
          <w:sz w:val="28"/>
          <w:szCs w:val="28"/>
        </w:rPr>
      </w:pPr>
      <w:r>
        <w:rPr>
          <w:i/>
          <w:sz w:val="28"/>
          <w:szCs w:val="28"/>
        </w:rPr>
        <w:t>Căn cứ Luật Ngân sách Nhà nước ngày 25/6/2015;</w:t>
      </w:r>
    </w:p>
    <w:p w:rsidR="00302A5E" w:rsidRDefault="002D1BE4">
      <w:pPr>
        <w:spacing w:before="80" w:after="80"/>
        <w:ind w:firstLine="709"/>
        <w:jc w:val="both"/>
        <w:rPr>
          <w:i/>
          <w:sz w:val="28"/>
          <w:szCs w:val="28"/>
        </w:rPr>
      </w:pPr>
      <w:r>
        <w:rPr>
          <w:i/>
          <w:sz w:val="28"/>
          <w:szCs w:val="28"/>
        </w:rPr>
        <w:t>Căn cứ Quyết định số 22/2017/QĐ-TTg ngày 22/6/2017 của Thủ tướng Chính phủ về tổ chức và hoạt động của Ủy ban An toàn giao thông Quốc gia và Ban An toàn giao thông tỉnh, thành phố trực thuộc Trung ươn</w:t>
      </w:r>
      <w:r>
        <w:rPr>
          <w:i/>
          <w:sz w:val="28"/>
          <w:szCs w:val="28"/>
        </w:rPr>
        <w:t>g;</w:t>
      </w:r>
    </w:p>
    <w:p w:rsidR="00302A5E" w:rsidRDefault="002D1BE4">
      <w:pPr>
        <w:spacing w:before="80" w:after="80"/>
        <w:ind w:firstLine="709"/>
        <w:jc w:val="both"/>
        <w:rPr>
          <w:i/>
          <w:sz w:val="28"/>
          <w:szCs w:val="28"/>
        </w:rPr>
      </w:pPr>
      <w:r>
        <w:rPr>
          <w:i/>
          <w:sz w:val="28"/>
          <w:szCs w:val="28"/>
        </w:rPr>
        <w:t>Căn cứ Thông tư số 01/2018/TT-BTC ngày 02/01/2018 của Bộ Tài chính Quy định việc quản lý và sử dụng kinh phí bảo đảm trật tự an toàn giao thông;</w:t>
      </w:r>
    </w:p>
    <w:p w:rsidR="00302A5E" w:rsidRDefault="002D1BE4">
      <w:pPr>
        <w:spacing w:before="80" w:after="80"/>
        <w:ind w:firstLine="709"/>
        <w:jc w:val="both"/>
        <w:rPr>
          <w:i/>
          <w:sz w:val="28"/>
          <w:szCs w:val="28"/>
        </w:rPr>
      </w:pPr>
      <w:r>
        <w:rPr>
          <w:i/>
          <w:sz w:val="28"/>
          <w:szCs w:val="28"/>
        </w:rPr>
        <w:t>Thực hiện Quyết định số 901/QĐ-BTC ngày 13/6/2018 của Bộ Tài chính về việc đính chính Thông tư số 01/2018/TT</w:t>
      </w:r>
      <w:r>
        <w:rPr>
          <w:i/>
          <w:sz w:val="28"/>
          <w:szCs w:val="28"/>
        </w:rPr>
        <w:t>-BTC ngày 02 tháng 01 năm 2018 của Bộ Tài chính quy định việc quản lý và sử dụng kinh phí bảo đảm trật tự an toàn giao thông;</w:t>
      </w:r>
    </w:p>
    <w:p w:rsidR="00302A5E" w:rsidRDefault="002D1BE4">
      <w:pPr>
        <w:spacing w:before="80" w:after="80"/>
        <w:ind w:firstLine="709"/>
        <w:jc w:val="both"/>
        <w:rPr>
          <w:i/>
          <w:sz w:val="28"/>
          <w:szCs w:val="28"/>
        </w:rPr>
      </w:pPr>
      <w:r>
        <w:rPr>
          <w:i/>
          <w:sz w:val="28"/>
          <w:szCs w:val="28"/>
        </w:rPr>
        <w:t>Căn cứ Thông tư số 28/2019/TT-BTC ngày 21/5/2019 của Bộ Tài chính về việc sửa đổi, bổ sung một số điều của Thông tư số 01/2018/TT-</w:t>
      </w:r>
      <w:r>
        <w:rPr>
          <w:i/>
          <w:sz w:val="28"/>
          <w:szCs w:val="28"/>
        </w:rPr>
        <w:t>BTC ngày 02/01/2018 của Bộ Tài chính;</w:t>
      </w:r>
    </w:p>
    <w:p w:rsidR="00302A5E" w:rsidRDefault="002D1BE4">
      <w:pPr>
        <w:spacing w:before="80" w:after="80"/>
        <w:ind w:firstLine="709"/>
        <w:jc w:val="both"/>
        <w:rPr>
          <w:i/>
          <w:sz w:val="28"/>
          <w:szCs w:val="28"/>
        </w:rPr>
      </w:pPr>
      <w:r>
        <w:rPr>
          <w:i/>
          <w:sz w:val="28"/>
          <w:szCs w:val="28"/>
        </w:rPr>
        <w:t>Căn cứ Nghị quyết số 12/2019/NQ-HĐND ngày 29/10/2019 của Hội đồng nhân dân tỉnh quy định một số nội dung chi, mức chi và định mức phân bổ kinh phí nguồn kinh phí đảm bảo trật tự an toàn giao thông trên địa bàn tỉnh Lon</w:t>
      </w:r>
      <w:r>
        <w:rPr>
          <w:i/>
          <w:sz w:val="28"/>
          <w:szCs w:val="28"/>
        </w:rPr>
        <w:t>g An;</w:t>
      </w:r>
    </w:p>
    <w:p w:rsidR="00302A5E" w:rsidRDefault="002D1BE4">
      <w:pPr>
        <w:spacing w:before="80" w:after="80"/>
        <w:ind w:firstLine="709"/>
        <w:jc w:val="both"/>
        <w:rPr>
          <w:i/>
          <w:sz w:val="28"/>
          <w:szCs w:val="28"/>
        </w:rPr>
      </w:pPr>
      <w:r>
        <w:rPr>
          <w:i/>
          <w:sz w:val="28"/>
          <w:szCs w:val="28"/>
        </w:rPr>
        <w:t xml:space="preserve">Căn cứ văn bản số 6907/UBND-KSTTHC ngày 06/12/2019 về việc ủy quyền điều hành, xử lý công việc của </w:t>
      </w:r>
      <w:r>
        <w:rPr>
          <w:bCs/>
          <w:i/>
          <w:sz w:val="28"/>
          <w:szCs w:val="28"/>
        </w:rPr>
        <w:t>UBND tỉnh</w:t>
      </w:r>
      <w:r>
        <w:rPr>
          <w:i/>
          <w:sz w:val="28"/>
          <w:szCs w:val="28"/>
        </w:rPr>
        <w:t>;</w:t>
      </w:r>
    </w:p>
    <w:p w:rsidR="00302A5E" w:rsidRDefault="002D1BE4">
      <w:pPr>
        <w:spacing w:before="80" w:after="80"/>
        <w:ind w:firstLine="709"/>
        <w:jc w:val="both"/>
        <w:rPr>
          <w:i/>
          <w:sz w:val="28"/>
          <w:szCs w:val="28"/>
        </w:rPr>
      </w:pPr>
      <w:r>
        <w:rPr>
          <w:i/>
          <w:sz w:val="28"/>
          <w:szCs w:val="28"/>
        </w:rPr>
        <w:t>Theo đề nghị của Giám đốc Sở Giao thông vận tải tại Tờ trình số 3443/TTr-SGTVT ngày 29/11/2019.</w:t>
      </w:r>
    </w:p>
    <w:p w:rsidR="00302A5E" w:rsidRDefault="00302A5E">
      <w:pPr>
        <w:tabs>
          <w:tab w:val="left" w:pos="6286"/>
        </w:tabs>
        <w:spacing w:before="80" w:after="80"/>
        <w:ind w:firstLine="709"/>
        <w:rPr>
          <w:b/>
          <w:sz w:val="28"/>
          <w:szCs w:val="28"/>
        </w:rPr>
      </w:pPr>
    </w:p>
    <w:p w:rsidR="00302A5E" w:rsidRDefault="002D1BE4">
      <w:pPr>
        <w:spacing w:before="80" w:after="80"/>
        <w:ind w:firstLine="709"/>
        <w:jc w:val="center"/>
        <w:rPr>
          <w:b/>
          <w:sz w:val="28"/>
          <w:szCs w:val="28"/>
        </w:rPr>
      </w:pPr>
      <w:r>
        <w:rPr>
          <w:b/>
          <w:sz w:val="28"/>
          <w:szCs w:val="28"/>
        </w:rPr>
        <w:t>QUYẾT ĐỊNH:</w:t>
      </w:r>
    </w:p>
    <w:p w:rsidR="00302A5E" w:rsidRDefault="002D1BE4">
      <w:pPr>
        <w:ind w:firstLine="720"/>
        <w:jc w:val="both"/>
        <w:rPr>
          <w:sz w:val="28"/>
          <w:szCs w:val="28"/>
        </w:rPr>
      </w:pPr>
      <w:r>
        <w:rPr>
          <w:b/>
          <w:sz w:val="28"/>
          <w:szCs w:val="28"/>
        </w:rPr>
        <w:t>Điều 1.</w:t>
      </w:r>
      <w:r>
        <w:rPr>
          <w:sz w:val="28"/>
          <w:szCs w:val="28"/>
        </w:rPr>
        <w:t xml:space="preserve"> Triển khai thực hiện Ng</w:t>
      </w:r>
      <w:r>
        <w:rPr>
          <w:sz w:val="28"/>
          <w:szCs w:val="28"/>
        </w:rPr>
        <w:t>hị quyết số 12/2019/NQ-HĐND ngày 29/10/2019 của HĐND tỉnh quy định một số nội dung chi, mức chi và định mức phân bổ kinh phí nguồn kinh phí đảm bảo trật tự an toàn giao thông trên địa bàn tỉnh Long An, cụ thể như sau:</w:t>
      </w:r>
    </w:p>
    <w:p w:rsidR="00302A5E" w:rsidRDefault="00302A5E">
      <w:pPr>
        <w:spacing w:before="80" w:after="80"/>
        <w:ind w:firstLine="720"/>
        <w:jc w:val="both"/>
        <w:rPr>
          <w:b/>
          <w:sz w:val="28"/>
          <w:szCs w:val="28"/>
        </w:rPr>
      </w:pPr>
    </w:p>
    <w:p w:rsidR="00302A5E" w:rsidRDefault="002D1BE4">
      <w:pPr>
        <w:spacing w:before="80" w:after="80"/>
        <w:ind w:firstLine="720"/>
        <w:jc w:val="both"/>
        <w:rPr>
          <w:b/>
          <w:sz w:val="28"/>
          <w:szCs w:val="28"/>
        </w:rPr>
      </w:pPr>
      <w:r>
        <w:rPr>
          <w:b/>
          <w:sz w:val="28"/>
          <w:szCs w:val="28"/>
        </w:rPr>
        <w:lastRenderedPageBreak/>
        <w:t>1. Phạm vi điều chỉnh</w:t>
      </w:r>
    </w:p>
    <w:p w:rsidR="00302A5E" w:rsidRDefault="002D1BE4">
      <w:pPr>
        <w:spacing w:before="80" w:after="80"/>
        <w:ind w:firstLine="709"/>
        <w:jc w:val="both"/>
        <w:rPr>
          <w:sz w:val="28"/>
          <w:szCs w:val="28"/>
        </w:rPr>
      </w:pPr>
      <w:r>
        <w:rPr>
          <w:sz w:val="28"/>
          <w:szCs w:val="28"/>
        </w:rPr>
        <w:t xml:space="preserve">Quyết định này </w:t>
      </w:r>
      <w:r>
        <w:rPr>
          <w:sz w:val="28"/>
          <w:szCs w:val="28"/>
        </w:rPr>
        <w:t>quy định việc quản lý và sử dụng kinh phí đảm bảo trật tự an toàn giao thông trên địa bàn tỉnh Long An.</w:t>
      </w:r>
    </w:p>
    <w:p w:rsidR="00302A5E" w:rsidRDefault="002D1BE4">
      <w:pPr>
        <w:spacing w:before="80" w:after="80"/>
        <w:ind w:firstLine="709"/>
        <w:jc w:val="both"/>
        <w:rPr>
          <w:sz w:val="28"/>
          <w:szCs w:val="28"/>
        </w:rPr>
      </w:pPr>
      <w:r>
        <w:rPr>
          <w:sz w:val="28"/>
          <w:szCs w:val="28"/>
        </w:rPr>
        <w:t>Các nội dung, mức chi khác phục vụ công tác đảm bảo trật tự an toàn giao thông trên địa bàn tỉnh Long An không quy định tại quyết định này thì thực hiện</w:t>
      </w:r>
      <w:r>
        <w:rPr>
          <w:sz w:val="28"/>
          <w:szCs w:val="28"/>
        </w:rPr>
        <w:t xml:space="preserve"> theo các quy định tại Thông tư số 01/2018/TT-BTC ngày 02/01/2018, Thông tư số 28/2019/TT-BTC ngày 21/5/2019 của Bộ Tài chính và các quy định về chế độ công tác phí, hội nghị, tập huấn; đào tạo, bồi dưỡng cán bộ, công chức, viên chức; thi đua khen thưởng;.</w:t>
      </w:r>
      <w:r>
        <w:rPr>
          <w:sz w:val="28"/>
          <w:szCs w:val="28"/>
        </w:rPr>
        <w:t>.. được triển khai trên địa bàn tỉnh.</w:t>
      </w:r>
    </w:p>
    <w:p w:rsidR="00302A5E" w:rsidRDefault="002D1BE4">
      <w:pPr>
        <w:spacing w:before="80" w:after="80"/>
        <w:ind w:firstLine="709"/>
        <w:jc w:val="both"/>
        <w:rPr>
          <w:b/>
          <w:sz w:val="28"/>
          <w:szCs w:val="28"/>
        </w:rPr>
      </w:pPr>
      <w:r>
        <w:rPr>
          <w:b/>
          <w:sz w:val="28"/>
          <w:szCs w:val="28"/>
        </w:rPr>
        <w:t>2. Đối tượng áp dụng</w:t>
      </w:r>
    </w:p>
    <w:p w:rsidR="00302A5E" w:rsidRDefault="002D1BE4">
      <w:pPr>
        <w:spacing w:before="80" w:after="80"/>
        <w:ind w:firstLine="709"/>
        <w:jc w:val="both"/>
        <w:rPr>
          <w:sz w:val="28"/>
          <w:szCs w:val="28"/>
        </w:rPr>
      </w:pPr>
      <w:r>
        <w:rPr>
          <w:sz w:val="28"/>
          <w:szCs w:val="28"/>
        </w:rPr>
        <w:t>a) Ban An toàn giao thông tỉnh; Sở Giao thông vận tải; Công an tỉnh và Ủy ban nhân dân, Ban An toàn giao thông các huyện, thị xã, thành phố (sau đây gọi tắt là cấp huyện);</w:t>
      </w:r>
    </w:p>
    <w:p w:rsidR="00302A5E" w:rsidRDefault="002D1BE4">
      <w:pPr>
        <w:spacing w:before="80" w:after="80"/>
        <w:ind w:firstLine="709"/>
        <w:jc w:val="both"/>
        <w:rPr>
          <w:sz w:val="28"/>
          <w:szCs w:val="28"/>
        </w:rPr>
      </w:pPr>
      <w:r>
        <w:rPr>
          <w:sz w:val="28"/>
          <w:szCs w:val="28"/>
        </w:rPr>
        <w:t>b) Các cơ quan, đơn vị, t</w:t>
      </w:r>
      <w:r>
        <w:rPr>
          <w:sz w:val="28"/>
          <w:szCs w:val="28"/>
        </w:rPr>
        <w:t>ổ chức, cá nhân khác có liên quan đến việc quản lý sử dụng kinh phí đảm bảo trật tự an toàn giao thông trên địa bàn tỉnh;</w:t>
      </w:r>
    </w:p>
    <w:p w:rsidR="00302A5E" w:rsidRDefault="002D1BE4">
      <w:pPr>
        <w:spacing w:before="80" w:after="80"/>
        <w:ind w:firstLine="709"/>
        <w:jc w:val="both"/>
        <w:rPr>
          <w:sz w:val="28"/>
          <w:szCs w:val="28"/>
        </w:rPr>
      </w:pPr>
      <w:r>
        <w:rPr>
          <w:sz w:val="28"/>
          <w:szCs w:val="28"/>
        </w:rPr>
        <w:t>c) Các lực lượng trực tiếp tham gia công tác đảm bảo trật tự an toàn giao thông trên địa bàn tỉnh.</w:t>
      </w:r>
    </w:p>
    <w:p w:rsidR="00302A5E" w:rsidRDefault="002D1BE4">
      <w:pPr>
        <w:spacing w:before="80" w:after="80"/>
        <w:ind w:firstLine="709"/>
        <w:jc w:val="both"/>
        <w:rPr>
          <w:b/>
          <w:sz w:val="28"/>
          <w:szCs w:val="28"/>
        </w:rPr>
      </w:pPr>
      <w:r>
        <w:rPr>
          <w:b/>
          <w:sz w:val="28"/>
          <w:szCs w:val="28"/>
        </w:rPr>
        <w:t>3. Nội dung chi, mức chi</w:t>
      </w:r>
    </w:p>
    <w:p w:rsidR="00302A5E" w:rsidRDefault="002D1BE4">
      <w:pPr>
        <w:spacing w:before="80" w:after="80"/>
        <w:ind w:firstLine="709"/>
        <w:jc w:val="both"/>
        <w:rPr>
          <w:sz w:val="28"/>
          <w:szCs w:val="28"/>
        </w:rPr>
      </w:pPr>
      <w:r>
        <w:rPr>
          <w:sz w:val="28"/>
          <w:szCs w:val="28"/>
        </w:rPr>
        <w:t xml:space="preserve">a) Chi hỗ </w:t>
      </w:r>
      <w:r>
        <w:rPr>
          <w:sz w:val="28"/>
          <w:szCs w:val="28"/>
        </w:rPr>
        <w:t>trợ các đối tượng làm nhiệm vụ công tác đảm bảo trật tự an toàn giao thông:</w:t>
      </w:r>
    </w:p>
    <w:p w:rsidR="00302A5E" w:rsidRDefault="002D1BE4">
      <w:pPr>
        <w:spacing w:before="80" w:after="80"/>
        <w:ind w:firstLine="709"/>
        <w:jc w:val="both"/>
        <w:rPr>
          <w:sz w:val="28"/>
          <w:szCs w:val="28"/>
        </w:rPr>
      </w:pPr>
      <w:r>
        <w:rPr>
          <w:sz w:val="28"/>
          <w:szCs w:val="28"/>
        </w:rPr>
        <w:t xml:space="preserve">- Hỗ trợ lực lượng Công an xã, phường, thị trấn (sau đây gọi tắt là cấp xã), lực lượng dân phòng, dân phố, lực lượng dân quân tự vệ, lực lượng đoàn viên thanh </w:t>
      </w:r>
      <w:r>
        <w:rPr>
          <w:sz w:val="28"/>
          <w:szCs w:val="28"/>
        </w:rPr>
        <w:t>niên làm nhiệm vụ điều tiết giao thông trong các khu vực có lưu lượng phương tiện tham gia giao thông cao và các khung giờ cao điểm, các ngày nghỉ cuối tuần, các ngày nghỉ Lễ, Tết: mức chi 100.000 đồng/người/ca (thời gian làm nhiệm vụ từ đủ 4 giờ trở lên);</w:t>
      </w:r>
    </w:p>
    <w:p w:rsidR="00302A5E" w:rsidRDefault="002D1BE4">
      <w:pPr>
        <w:spacing w:before="80" w:after="80"/>
        <w:ind w:firstLine="709"/>
        <w:jc w:val="both"/>
        <w:rPr>
          <w:sz w:val="28"/>
          <w:szCs w:val="28"/>
        </w:rPr>
      </w:pPr>
      <w:r>
        <w:rPr>
          <w:sz w:val="28"/>
          <w:szCs w:val="28"/>
        </w:rPr>
        <w:t>- Hỗ trợ lực lượng tình nguyện viên tham gia sơ cấp cứu cho người bị nạn trong các vụ tai nạn giao thông trên địa bàn các huyện, thị xã, thành phố Tân An. mức chi 300.000 đồng/người/ca (thời gian làm nhiệm vụ từ đủ 4 giờ trở lên).</w:t>
      </w:r>
    </w:p>
    <w:p w:rsidR="00302A5E" w:rsidRDefault="002D1BE4">
      <w:pPr>
        <w:spacing w:before="80" w:after="80"/>
        <w:ind w:firstLine="709"/>
        <w:jc w:val="both"/>
        <w:rPr>
          <w:sz w:val="28"/>
          <w:szCs w:val="28"/>
        </w:rPr>
      </w:pPr>
      <w:r>
        <w:rPr>
          <w:sz w:val="28"/>
          <w:szCs w:val="28"/>
        </w:rPr>
        <w:t>b) Chi hỗ trợ lập báo cá</w:t>
      </w:r>
      <w:r>
        <w:rPr>
          <w:sz w:val="28"/>
          <w:szCs w:val="28"/>
        </w:rPr>
        <w:t>o thống kê, theo dõi, phân tích số liệu tai nạn giao thông (báo cáo tháng, định kỳ, báo cáo đợt cao điểm, đột xuất) phục vụ công tác bảo đảm trật tự an toàn giao thông:</w:t>
      </w:r>
    </w:p>
    <w:p w:rsidR="00302A5E" w:rsidRDefault="002D1BE4">
      <w:pPr>
        <w:spacing w:before="80" w:after="80"/>
        <w:ind w:firstLine="709"/>
        <w:jc w:val="both"/>
        <w:rPr>
          <w:sz w:val="28"/>
          <w:szCs w:val="28"/>
        </w:rPr>
      </w:pPr>
      <w:r>
        <w:rPr>
          <w:sz w:val="28"/>
          <w:szCs w:val="28"/>
        </w:rPr>
        <w:t>- Cấp tỉnh: 500.000 đồng/đơn vị/tháng;</w:t>
      </w:r>
    </w:p>
    <w:p w:rsidR="00302A5E" w:rsidRDefault="002D1BE4">
      <w:pPr>
        <w:spacing w:before="80" w:after="80"/>
        <w:ind w:firstLine="709"/>
        <w:jc w:val="both"/>
        <w:rPr>
          <w:sz w:val="28"/>
          <w:szCs w:val="28"/>
        </w:rPr>
      </w:pPr>
      <w:r>
        <w:rPr>
          <w:sz w:val="28"/>
          <w:szCs w:val="28"/>
        </w:rPr>
        <w:t>- Cấp huyện: 400.000 đồng/đơn vị/tháng.</w:t>
      </w:r>
    </w:p>
    <w:p w:rsidR="00302A5E" w:rsidRDefault="002D1BE4">
      <w:pPr>
        <w:spacing w:before="80" w:after="80"/>
        <w:ind w:firstLine="709"/>
        <w:jc w:val="both"/>
        <w:rPr>
          <w:sz w:val="28"/>
          <w:szCs w:val="28"/>
        </w:rPr>
      </w:pPr>
      <w:r>
        <w:rPr>
          <w:sz w:val="28"/>
          <w:szCs w:val="28"/>
        </w:rPr>
        <w:t>c) Chi v</w:t>
      </w:r>
      <w:r>
        <w:rPr>
          <w:sz w:val="28"/>
          <w:szCs w:val="28"/>
        </w:rPr>
        <w:t>ận hành số điện thoại đường dây nóng về trật tự an toàn giao thông:</w:t>
      </w:r>
    </w:p>
    <w:p w:rsidR="00302A5E" w:rsidRDefault="002D1BE4">
      <w:pPr>
        <w:spacing w:before="80" w:after="80"/>
        <w:ind w:firstLine="709"/>
        <w:jc w:val="both"/>
        <w:rPr>
          <w:sz w:val="28"/>
          <w:szCs w:val="28"/>
        </w:rPr>
      </w:pPr>
      <w:r>
        <w:rPr>
          <w:sz w:val="28"/>
          <w:szCs w:val="28"/>
        </w:rPr>
        <w:t>- Cấp tỉnh: 300.000 đồng/đơn vị/tháng;</w:t>
      </w:r>
    </w:p>
    <w:p w:rsidR="00302A5E" w:rsidRDefault="002D1BE4">
      <w:pPr>
        <w:spacing w:before="80" w:after="80"/>
        <w:ind w:firstLine="709"/>
        <w:jc w:val="both"/>
        <w:rPr>
          <w:sz w:val="28"/>
          <w:szCs w:val="28"/>
        </w:rPr>
      </w:pPr>
      <w:r>
        <w:rPr>
          <w:sz w:val="28"/>
          <w:szCs w:val="28"/>
        </w:rPr>
        <w:t>- Cấp huyện: 200.000 đồng/đơn vị/tháng.</w:t>
      </w:r>
    </w:p>
    <w:p w:rsidR="00302A5E" w:rsidRDefault="002D1BE4">
      <w:pPr>
        <w:spacing w:before="80" w:after="80"/>
        <w:ind w:firstLine="709"/>
        <w:jc w:val="both"/>
        <w:rPr>
          <w:sz w:val="28"/>
          <w:szCs w:val="28"/>
        </w:rPr>
      </w:pPr>
      <w:r>
        <w:rPr>
          <w:sz w:val="28"/>
          <w:szCs w:val="28"/>
        </w:rPr>
        <w:t>d) Chi xây dựng các chương trình, đề án về bảo đảm TTATGT, nhân rộng các mô hình điểm về bảo đảm TTATGT:</w:t>
      </w:r>
    </w:p>
    <w:p w:rsidR="00302A5E" w:rsidRDefault="002D1BE4">
      <w:pPr>
        <w:spacing w:before="80" w:after="80"/>
        <w:ind w:firstLine="709"/>
        <w:jc w:val="both"/>
        <w:rPr>
          <w:sz w:val="28"/>
          <w:szCs w:val="28"/>
        </w:rPr>
      </w:pPr>
      <w:r>
        <w:rPr>
          <w:sz w:val="28"/>
          <w:szCs w:val="28"/>
        </w:rPr>
        <w:lastRenderedPageBreak/>
        <w:t>- Cấ</w:t>
      </w:r>
      <w:r>
        <w:rPr>
          <w:sz w:val="28"/>
          <w:szCs w:val="28"/>
        </w:rPr>
        <w:t>p tỉnh: 500.000 đồng/văn bản;</w:t>
      </w:r>
    </w:p>
    <w:p w:rsidR="00302A5E" w:rsidRDefault="002D1BE4">
      <w:pPr>
        <w:spacing w:before="80" w:after="80"/>
        <w:ind w:firstLine="709"/>
        <w:jc w:val="both"/>
        <w:rPr>
          <w:sz w:val="28"/>
          <w:szCs w:val="28"/>
        </w:rPr>
      </w:pPr>
      <w:r>
        <w:rPr>
          <w:sz w:val="28"/>
          <w:szCs w:val="28"/>
        </w:rPr>
        <w:t>- Cấp huyện: 300.000 đồng/văn bản;</w:t>
      </w:r>
    </w:p>
    <w:p w:rsidR="00302A5E" w:rsidRDefault="002D1BE4">
      <w:pPr>
        <w:spacing w:before="80" w:after="80"/>
        <w:ind w:firstLine="709"/>
        <w:jc w:val="both"/>
        <w:rPr>
          <w:sz w:val="28"/>
          <w:szCs w:val="28"/>
        </w:rPr>
      </w:pPr>
      <w:r>
        <w:rPr>
          <w:sz w:val="28"/>
          <w:szCs w:val="28"/>
        </w:rPr>
        <w:t>- Cấp xã: 200.000 đồng/văn bản.</w:t>
      </w:r>
    </w:p>
    <w:p w:rsidR="00302A5E" w:rsidRDefault="002D1BE4">
      <w:pPr>
        <w:spacing w:before="80" w:after="80"/>
        <w:ind w:firstLine="709"/>
        <w:jc w:val="both"/>
        <w:rPr>
          <w:sz w:val="28"/>
          <w:szCs w:val="28"/>
        </w:rPr>
      </w:pPr>
      <w:r>
        <w:rPr>
          <w:sz w:val="28"/>
          <w:szCs w:val="28"/>
        </w:rPr>
        <w:t xml:space="preserve">đ) Chi xây dựng kế hoạch, kiểm tra, biện pháp phối hợp với các ban ngành và chính quyền các cấp (bao gồm cấp xã) trong việc thực hiện các biện pháp về bảo đảm </w:t>
      </w:r>
      <w:r>
        <w:rPr>
          <w:sz w:val="28"/>
          <w:szCs w:val="28"/>
        </w:rPr>
        <w:t>TTATGT và khắc phục ùn tắc giao thông, nhân rộng các mô hình điểm về bảo đảm TTATGT (Xây dựng kế hoạch, mời các ngành liên quan, thành lập đoàn kiểm tra, báo cáo, đề xuất phương hướng xử lý):</w:t>
      </w:r>
    </w:p>
    <w:p w:rsidR="00302A5E" w:rsidRDefault="002D1BE4">
      <w:pPr>
        <w:spacing w:before="80" w:after="80"/>
        <w:ind w:firstLine="709"/>
        <w:jc w:val="both"/>
        <w:rPr>
          <w:spacing w:val="2"/>
          <w:sz w:val="28"/>
          <w:szCs w:val="28"/>
        </w:rPr>
      </w:pPr>
      <w:r>
        <w:rPr>
          <w:spacing w:val="2"/>
          <w:sz w:val="28"/>
          <w:szCs w:val="28"/>
        </w:rPr>
        <w:t>-</w:t>
      </w:r>
      <w:r>
        <w:rPr>
          <w:spacing w:val="2"/>
          <w:sz w:val="28"/>
          <w:szCs w:val="28"/>
        </w:rPr>
        <w:t xml:space="preserve"> Cấp tỉnh: 1.500.000 đồng/cuộc, Trưởng đoàn: 150.000 đồng/buổi, thành viên 100.000 đồng/buổi;</w:t>
      </w:r>
    </w:p>
    <w:p w:rsidR="00302A5E" w:rsidRDefault="002D1BE4">
      <w:pPr>
        <w:spacing w:before="80" w:after="80"/>
        <w:ind w:firstLine="709"/>
        <w:jc w:val="both"/>
        <w:rPr>
          <w:sz w:val="28"/>
          <w:szCs w:val="28"/>
        </w:rPr>
      </w:pPr>
      <w:r>
        <w:rPr>
          <w:sz w:val="28"/>
          <w:szCs w:val="28"/>
        </w:rPr>
        <w:t>- Cấp huyện: 1.200.000 đồng/cuộc; Trưởng đoàn: 120.000 đồng/buổi, thành viên 80.000 đồng/buổi;</w:t>
      </w:r>
    </w:p>
    <w:p w:rsidR="00302A5E" w:rsidRDefault="002D1BE4">
      <w:pPr>
        <w:spacing w:before="80" w:after="80"/>
        <w:ind w:firstLine="709"/>
        <w:jc w:val="both"/>
        <w:rPr>
          <w:spacing w:val="-4"/>
          <w:sz w:val="28"/>
          <w:szCs w:val="28"/>
        </w:rPr>
      </w:pPr>
      <w:r>
        <w:rPr>
          <w:spacing w:val="-4"/>
          <w:sz w:val="28"/>
          <w:szCs w:val="28"/>
        </w:rPr>
        <w:t>- Cấp xã: 1.000.000 đồng/cuộc; Trưởng đoàn: 80.000 đồng/buổi, thành</w:t>
      </w:r>
      <w:r>
        <w:rPr>
          <w:spacing w:val="-4"/>
          <w:sz w:val="28"/>
          <w:szCs w:val="28"/>
        </w:rPr>
        <w:t xml:space="preserve"> viên 60.000 đồng/buổi.</w:t>
      </w:r>
    </w:p>
    <w:p w:rsidR="00302A5E" w:rsidRDefault="002D1BE4">
      <w:pPr>
        <w:spacing w:before="80" w:after="80"/>
        <w:ind w:firstLine="709"/>
        <w:jc w:val="both"/>
        <w:rPr>
          <w:sz w:val="28"/>
          <w:szCs w:val="28"/>
        </w:rPr>
      </w:pPr>
      <w:r>
        <w:rPr>
          <w:sz w:val="28"/>
          <w:szCs w:val="28"/>
        </w:rPr>
        <w:t>e) Chi hội nghị sơ kết, tổng kết, hội thảo, tập huấn triển khai thực hiện nhiệm vụ, công tác bảo đảm TTATGT; tập huấn về công tác đảm bảo TTATGT thực hiện theo quy định tại Quyết định số 72/2017/QĐ-UBND ngày 29/12/2017 của Ủy ban nh</w:t>
      </w:r>
      <w:r>
        <w:rPr>
          <w:sz w:val="28"/>
          <w:szCs w:val="28"/>
        </w:rPr>
        <w:t>ân dân tỉnh quy định chế độ công tác phí, chế độ chi tổ chức các cuộc hội nghị đối với các cơ quan nhà nước và đơn vị sự nghiệp công lập trên địa bàn tỉnh.</w:t>
      </w:r>
    </w:p>
    <w:p w:rsidR="00302A5E" w:rsidRDefault="002D1BE4">
      <w:pPr>
        <w:spacing w:before="80" w:after="80"/>
        <w:ind w:firstLine="709"/>
        <w:jc w:val="both"/>
        <w:rPr>
          <w:sz w:val="28"/>
          <w:szCs w:val="28"/>
        </w:rPr>
      </w:pPr>
      <w:r>
        <w:rPr>
          <w:sz w:val="28"/>
          <w:szCs w:val="28"/>
        </w:rPr>
        <w:t>g) Đối với các nội dung chi chưa có mức chi do cơ quan nhà nước có thẩm quyền quy định, Trưởng ban A</w:t>
      </w:r>
      <w:r>
        <w:rPr>
          <w:sz w:val="28"/>
          <w:szCs w:val="28"/>
        </w:rPr>
        <w:t>n toàn giao thông cấp tỉnh, cấp huyện quyết định mức chi phù hợp với hóa đơn, chứng từ hợp pháp, hợp lệ trong phạm vi dự toán được giao và chịu trách nhiệm về quyết định của mình.</w:t>
      </w:r>
    </w:p>
    <w:p w:rsidR="00302A5E" w:rsidRDefault="002D1BE4">
      <w:pPr>
        <w:spacing w:before="80" w:after="80"/>
        <w:ind w:firstLine="709"/>
        <w:jc w:val="both"/>
        <w:rPr>
          <w:b/>
          <w:sz w:val="28"/>
          <w:szCs w:val="28"/>
        </w:rPr>
      </w:pPr>
      <w:r>
        <w:rPr>
          <w:b/>
          <w:sz w:val="28"/>
          <w:szCs w:val="28"/>
        </w:rPr>
        <w:t>4. Nguồn kinh phí</w:t>
      </w:r>
    </w:p>
    <w:p w:rsidR="00302A5E" w:rsidRDefault="002D1BE4">
      <w:pPr>
        <w:spacing w:before="80" w:after="80"/>
        <w:ind w:firstLine="709"/>
        <w:jc w:val="both"/>
        <w:rPr>
          <w:sz w:val="28"/>
          <w:szCs w:val="28"/>
        </w:rPr>
      </w:pPr>
      <w:r>
        <w:rPr>
          <w:sz w:val="28"/>
          <w:szCs w:val="28"/>
        </w:rPr>
        <w:t xml:space="preserve">a) Ngân sách địa phương bố trí từ nguồn chi các hoạt động </w:t>
      </w:r>
      <w:r>
        <w:rPr>
          <w:sz w:val="28"/>
          <w:szCs w:val="28"/>
        </w:rPr>
        <w:t>kinh tế theo phân cấp quản lý ngân sách hiện hành;</w:t>
      </w:r>
    </w:p>
    <w:p w:rsidR="00302A5E" w:rsidRDefault="002D1BE4">
      <w:pPr>
        <w:spacing w:before="80" w:after="80"/>
        <w:ind w:firstLine="709"/>
        <w:jc w:val="both"/>
        <w:rPr>
          <w:sz w:val="28"/>
          <w:szCs w:val="28"/>
        </w:rPr>
      </w:pPr>
      <w:r>
        <w:rPr>
          <w:sz w:val="28"/>
          <w:szCs w:val="28"/>
        </w:rPr>
        <w:t>b) Ngân sách Trung ương bổ sung có mục tiêu cho ngân sách tỉnh thực hiện nhiệm vụ bảo đảm trật tự an toàn giao thông;</w:t>
      </w:r>
    </w:p>
    <w:p w:rsidR="00302A5E" w:rsidRDefault="002D1BE4">
      <w:pPr>
        <w:spacing w:before="80" w:after="80"/>
        <w:ind w:firstLine="709"/>
        <w:jc w:val="both"/>
        <w:rPr>
          <w:sz w:val="28"/>
          <w:szCs w:val="28"/>
        </w:rPr>
      </w:pPr>
      <w:r>
        <w:rPr>
          <w:sz w:val="28"/>
          <w:szCs w:val="28"/>
        </w:rPr>
        <w:t>c) Các nguồn thu khác theo quy định của pháp luật.</w:t>
      </w:r>
    </w:p>
    <w:p w:rsidR="00302A5E" w:rsidRDefault="002D1BE4">
      <w:pPr>
        <w:spacing w:before="80" w:after="80"/>
        <w:ind w:firstLine="709"/>
        <w:jc w:val="both"/>
        <w:rPr>
          <w:b/>
          <w:sz w:val="28"/>
          <w:szCs w:val="28"/>
        </w:rPr>
      </w:pPr>
      <w:r>
        <w:rPr>
          <w:b/>
          <w:sz w:val="28"/>
          <w:szCs w:val="28"/>
        </w:rPr>
        <w:t>5. Định mức phân bổ kinh phí</w:t>
      </w:r>
    </w:p>
    <w:p w:rsidR="00302A5E" w:rsidRDefault="002D1BE4">
      <w:pPr>
        <w:spacing w:before="80" w:after="80"/>
        <w:ind w:firstLine="709"/>
        <w:jc w:val="both"/>
        <w:rPr>
          <w:spacing w:val="-4"/>
          <w:sz w:val="28"/>
          <w:szCs w:val="28"/>
        </w:rPr>
      </w:pPr>
      <w:r>
        <w:rPr>
          <w:spacing w:val="-4"/>
          <w:sz w:val="28"/>
          <w:szCs w:val="28"/>
        </w:rPr>
        <w:t xml:space="preserve">Căn cứ </w:t>
      </w:r>
      <w:r>
        <w:rPr>
          <w:spacing w:val="-4"/>
          <w:sz w:val="28"/>
          <w:szCs w:val="28"/>
        </w:rPr>
        <w:t>vào tình hình thu xử phạt vi phạm hành chính trên lĩnh vực giao thông của các địa phương, tỷ lệ phân bổ kinh phí an toàn giao thông (do Trung ương bổ sung có mục tiêu cho ngân sách tỉnh) năm 2019 trở về sau đối với Công an tỉnh và Ban An toàn giao thông 15</w:t>
      </w:r>
      <w:r>
        <w:rPr>
          <w:spacing w:val="-4"/>
          <w:sz w:val="28"/>
          <w:szCs w:val="28"/>
        </w:rPr>
        <w:t xml:space="preserve"> huyện, thị xã, thành phố cụ thể như sau:</w:t>
      </w:r>
    </w:p>
    <w:p w:rsidR="00302A5E" w:rsidRDefault="002D1BE4">
      <w:pPr>
        <w:spacing w:before="80" w:after="80"/>
        <w:ind w:firstLine="709"/>
        <w:jc w:val="both"/>
        <w:rPr>
          <w:sz w:val="28"/>
          <w:szCs w:val="28"/>
        </w:rPr>
      </w:pPr>
      <w:r>
        <w:rPr>
          <w:sz w:val="28"/>
          <w:szCs w:val="28"/>
        </w:rPr>
        <w:t>a) Phân bổ 70% kinh phí an toàn giao thông cho Công an tỉnh (bao gồm cả công an các huyện, thị xã, thành phố);</w:t>
      </w:r>
    </w:p>
    <w:p w:rsidR="00302A5E" w:rsidRDefault="002D1BE4">
      <w:pPr>
        <w:spacing w:before="80" w:after="80"/>
        <w:ind w:firstLine="709"/>
        <w:jc w:val="both"/>
        <w:rPr>
          <w:sz w:val="28"/>
          <w:szCs w:val="28"/>
        </w:rPr>
      </w:pPr>
      <w:r>
        <w:rPr>
          <w:sz w:val="28"/>
          <w:szCs w:val="28"/>
        </w:rPr>
        <w:t>b) Phân bổ 30% còn lại của kinh phí an toàn giao thông cho Ban An toàn giao thông các huyện, thị xã, th</w:t>
      </w:r>
      <w:r>
        <w:rPr>
          <w:sz w:val="28"/>
          <w:szCs w:val="28"/>
        </w:rPr>
        <w:t>ành phố, cụ thể như sau:</w:t>
      </w:r>
    </w:p>
    <w:p w:rsidR="00302A5E" w:rsidRDefault="002D1BE4">
      <w:pPr>
        <w:spacing w:before="80" w:after="80"/>
        <w:ind w:firstLine="709"/>
        <w:jc w:val="both"/>
        <w:rPr>
          <w:sz w:val="28"/>
          <w:szCs w:val="28"/>
        </w:rPr>
      </w:pPr>
      <w:r>
        <w:rPr>
          <w:sz w:val="28"/>
          <w:szCs w:val="28"/>
        </w:rPr>
        <w:t>- Đối với huyện Bến Lức, huyện Đức Hòa và thành phố Tân An: mỗi địa phương 2,5%;</w:t>
      </w:r>
    </w:p>
    <w:p w:rsidR="00302A5E" w:rsidRDefault="002D1BE4">
      <w:pPr>
        <w:spacing w:before="80" w:after="80"/>
        <w:ind w:firstLine="709"/>
        <w:jc w:val="both"/>
        <w:rPr>
          <w:sz w:val="28"/>
          <w:szCs w:val="28"/>
        </w:rPr>
      </w:pPr>
      <w:r>
        <w:rPr>
          <w:sz w:val="28"/>
          <w:szCs w:val="28"/>
        </w:rPr>
        <w:t>- Đối với huyện Cần Giuộc, huyện Tân Thạnh, huyện Cần Đước, huyện Thủ Thừa, huyện Thạnh Hóa và thị xã Kiến Tường: mỗi địa phương 2%;</w:t>
      </w:r>
    </w:p>
    <w:p w:rsidR="00302A5E" w:rsidRDefault="002D1BE4">
      <w:pPr>
        <w:spacing w:before="80" w:after="80"/>
        <w:ind w:firstLine="709"/>
        <w:jc w:val="both"/>
        <w:rPr>
          <w:sz w:val="28"/>
          <w:szCs w:val="28"/>
        </w:rPr>
      </w:pPr>
      <w:r>
        <w:rPr>
          <w:sz w:val="28"/>
          <w:szCs w:val="28"/>
        </w:rPr>
        <w:t>- Đối với huyện Tân Trụ, huyện Châu Thành, huyện Mộc Hóa: mỗi địa phương 1,8%;</w:t>
      </w:r>
    </w:p>
    <w:p w:rsidR="00302A5E" w:rsidRDefault="002D1BE4">
      <w:pPr>
        <w:spacing w:before="80" w:after="80"/>
        <w:ind w:firstLine="709"/>
        <w:jc w:val="both"/>
        <w:rPr>
          <w:sz w:val="28"/>
          <w:szCs w:val="28"/>
        </w:rPr>
      </w:pPr>
      <w:r>
        <w:rPr>
          <w:sz w:val="28"/>
          <w:szCs w:val="28"/>
        </w:rPr>
        <w:t>- Đối với huyện Đức Huệ, huyện Vĩnh Hưng, huyện Tân Hưng: mỗi địa phương 1,7%.</w:t>
      </w:r>
    </w:p>
    <w:p w:rsidR="00302A5E" w:rsidRDefault="002D1BE4">
      <w:pPr>
        <w:spacing w:before="80" w:after="80"/>
        <w:ind w:firstLine="709"/>
        <w:jc w:val="both"/>
        <w:rPr>
          <w:sz w:val="28"/>
          <w:szCs w:val="28"/>
        </w:rPr>
      </w:pPr>
      <w:r>
        <w:rPr>
          <w:b/>
          <w:sz w:val="28"/>
          <w:szCs w:val="28"/>
        </w:rPr>
        <w:t>Điều 2.</w:t>
      </w:r>
      <w:r>
        <w:rPr>
          <w:sz w:val="28"/>
          <w:szCs w:val="28"/>
        </w:rPr>
        <w:t xml:space="preserve"> Giao </w:t>
      </w:r>
      <w:r>
        <w:rPr>
          <w:spacing w:val="-4"/>
          <w:sz w:val="28"/>
          <w:szCs w:val="29"/>
          <w:lang w:eastAsia="zh-CN"/>
        </w:rPr>
        <w:t>Sở Tài chính</w:t>
      </w:r>
      <w:r>
        <w:rPr>
          <w:sz w:val="28"/>
          <w:szCs w:val="28"/>
        </w:rPr>
        <w:t xml:space="preserve"> chủ trì, phối hợp với </w:t>
      </w:r>
      <w:r>
        <w:rPr>
          <w:color w:val="111111"/>
          <w:spacing w:val="-4"/>
          <w:sz w:val="28"/>
          <w:szCs w:val="28"/>
          <w:lang w:eastAsia="zh-CN"/>
        </w:rPr>
        <w:t>Sở Giao thông vận tải</w:t>
      </w:r>
      <w:r>
        <w:rPr>
          <w:sz w:val="28"/>
          <w:szCs w:val="28"/>
        </w:rPr>
        <w:t xml:space="preserve"> theo dõi, kiểm tra việc thực</w:t>
      </w:r>
      <w:r>
        <w:rPr>
          <w:sz w:val="28"/>
          <w:szCs w:val="28"/>
        </w:rPr>
        <w:t xml:space="preserve"> hiện quyết định này.</w:t>
      </w:r>
    </w:p>
    <w:p w:rsidR="00302A5E" w:rsidRDefault="002D1BE4">
      <w:pPr>
        <w:spacing w:before="80" w:after="80"/>
        <w:ind w:firstLine="709"/>
        <w:jc w:val="both"/>
        <w:rPr>
          <w:sz w:val="28"/>
          <w:szCs w:val="28"/>
        </w:rPr>
      </w:pPr>
      <w:r>
        <w:rPr>
          <w:sz w:val="28"/>
          <w:szCs w:val="28"/>
        </w:rPr>
        <w:t>Quyết định này có hiệu lực thi hành kể từ ngày 23/12/2019 và bãi bỏ Quyết định số 4716/QĐ-UBND ngày 31/12/2014 của UBND tỉnh về việc ban hành quy định quản lý, sử dụng và thanh, quyết toán kinh phí đảm bảo trật tự an toàn giao thông d</w:t>
      </w:r>
      <w:r>
        <w:rPr>
          <w:sz w:val="28"/>
          <w:szCs w:val="28"/>
        </w:rPr>
        <w:t>o ngân sách nhà nước cấp trên địa bàn tỉnh Long An.</w:t>
      </w:r>
    </w:p>
    <w:p w:rsidR="00302A5E" w:rsidRDefault="002D1BE4">
      <w:pPr>
        <w:spacing w:before="80" w:after="240"/>
        <w:ind w:firstLine="709"/>
        <w:jc w:val="both"/>
        <w:rPr>
          <w:sz w:val="28"/>
          <w:szCs w:val="28"/>
        </w:rPr>
      </w:pPr>
      <w:r>
        <w:rPr>
          <w:b/>
          <w:sz w:val="28"/>
          <w:szCs w:val="28"/>
        </w:rPr>
        <w:t xml:space="preserve">Điều 3. </w:t>
      </w:r>
      <w:r>
        <w:rPr>
          <w:sz w:val="28"/>
          <w:szCs w:val="28"/>
        </w:rPr>
        <w:t>Chánh Văn phòng ĐĐBQH, HĐND và UBND tỉnh; Thủ trưởng các sở, ngành tỉnh, Chủ tịch UBND các huyện, thị xã, thành phố và Thủ trưởng các cơ quan, đơn vị có liên quan thi hành quyết định này./.</w:t>
      </w:r>
    </w:p>
    <w:tbl>
      <w:tblPr>
        <w:tblW w:w="0" w:type="auto"/>
        <w:tblInd w:w="-34" w:type="dxa"/>
        <w:tblLook w:val="04A0" w:firstRow="1" w:lastRow="0" w:firstColumn="1" w:lastColumn="0" w:noHBand="0" w:noVBand="1"/>
      </w:tblPr>
      <w:tblGrid>
        <w:gridCol w:w="4412"/>
        <w:gridCol w:w="4371"/>
      </w:tblGrid>
      <w:tr w:rsidR="00302A5E">
        <w:tc>
          <w:tcPr>
            <w:tcW w:w="4412" w:type="dxa"/>
            <w:shd w:val="clear" w:color="auto" w:fill="auto"/>
          </w:tcPr>
          <w:p w:rsidR="00302A5E" w:rsidRDefault="002D1BE4">
            <w:pPr>
              <w:pStyle w:val="BodyTextIndent2"/>
              <w:ind w:firstLine="0"/>
              <w:jc w:val="left"/>
              <w:rPr>
                <w:rFonts w:ascii="Times New Roman" w:hAnsi="Times New Roman"/>
                <w:b/>
                <w:bCs/>
                <w:i/>
                <w:iCs/>
                <w:color w:val="000000"/>
                <w:sz w:val="24"/>
                <w:szCs w:val="24"/>
                <w:lang w:val="vi-VN"/>
              </w:rPr>
            </w:pPr>
            <w:r>
              <w:rPr>
                <w:rFonts w:ascii="Times New Roman" w:hAnsi="Times New Roman"/>
                <w:b/>
                <w:bCs/>
                <w:i/>
                <w:iCs/>
                <w:color w:val="000000"/>
                <w:sz w:val="24"/>
                <w:szCs w:val="24"/>
                <w:lang w:val="vi-VN"/>
              </w:rPr>
              <w:t>Nơi nh</w:t>
            </w:r>
            <w:r>
              <w:rPr>
                <w:rFonts w:ascii="Times New Roman" w:hAnsi="Times New Roman"/>
                <w:b/>
                <w:bCs/>
                <w:i/>
                <w:iCs/>
                <w:color w:val="000000"/>
                <w:sz w:val="24"/>
                <w:szCs w:val="24"/>
                <w:lang w:val="vi-VN"/>
              </w:rPr>
              <w:t>ận:</w:t>
            </w:r>
          </w:p>
          <w:p w:rsidR="00302A5E" w:rsidRDefault="002D1BE4">
            <w:pPr>
              <w:rPr>
                <w:color w:val="000000"/>
                <w:sz w:val="22"/>
                <w:szCs w:val="22"/>
              </w:rPr>
            </w:pPr>
            <w:r>
              <w:rPr>
                <w:color w:val="000000"/>
                <w:sz w:val="22"/>
                <w:szCs w:val="22"/>
              </w:rPr>
              <w:t>- Như Điều 3;</w:t>
            </w:r>
          </w:p>
          <w:p w:rsidR="00302A5E" w:rsidRDefault="002D1BE4">
            <w:pPr>
              <w:rPr>
                <w:color w:val="000000"/>
                <w:sz w:val="22"/>
                <w:szCs w:val="22"/>
              </w:rPr>
            </w:pPr>
            <w:r>
              <w:rPr>
                <w:color w:val="000000"/>
                <w:sz w:val="22"/>
                <w:szCs w:val="22"/>
              </w:rPr>
              <w:t>- Bộ Tài chính;</w:t>
            </w:r>
          </w:p>
          <w:p w:rsidR="00302A5E" w:rsidRDefault="002D1BE4">
            <w:pPr>
              <w:rPr>
                <w:color w:val="000000"/>
                <w:sz w:val="22"/>
                <w:szCs w:val="22"/>
              </w:rPr>
            </w:pPr>
            <w:r>
              <w:rPr>
                <w:color w:val="000000"/>
                <w:sz w:val="22"/>
                <w:szCs w:val="22"/>
              </w:rPr>
              <w:t>- Bộ Giao thông vận tải;</w:t>
            </w:r>
          </w:p>
          <w:p w:rsidR="00302A5E" w:rsidRDefault="002D1BE4">
            <w:pPr>
              <w:rPr>
                <w:color w:val="000000"/>
                <w:sz w:val="22"/>
                <w:szCs w:val="22"/>
              </w:rPr>
            </w:pPr>
            <w:r>
              <w:rPr>
                <w:color w:val="000000"/>
                <w:sz w:val="22"/>
                <w:szCs w:val="22"/>
              </w:rPr>
              <w:t>- Cục KSTTHC – VPCP;</w:t>
            </w:r>
          </w:p>
          <w:p w:rsidR="00302A5E" w:rsidRDefault="002D1BE4">
            <w:pPr>
              <w:rPr>
                <w:color w:val="000000"/>
                <w:sz w:val="22"/>
                <w:szCs w:val="22"/>
              </w:rPr>
            </w:pPr>
            <w:r>
              <w:rPr>
                <w:color w:val="000000"/>
                <w:sz w:val="22"/>
                <w:szCs w:val="22"/>
              </w:rPr>
              <w:t>- Cục KTVB QPPL - Bộ Tư pháp;</w:t>
            </w:r>
          </w:p>
          <w:p w:rsidR="00302A5E" w:rsidRDefault="002D1BE4">
            <w:pPr>
              <w:rPr>
                <w:color w:val="000000"/>
                <w:sz w:val="22"/>
                <w:szCs w:val="22"/>
              </w:rPr>
            </w:pPr>
            <w:r>
              <w:rPr>
                <w:color w:val="000000"/>
                <w:sz w:val="22"/>
                <w:szCs w:val="22"/>
              </w:rPr>
              <w:t>- TT.TU, TT. HĐND tỉnh;</w:t>
            </w:r>
          </w:p>
          <w:p w:rsidR="00302A5E" w:rsidRDefault="002D1BE4">
            <w:pPr>
              <w:rPr>
                <w:color w:val="000000"/>
                <w:sz w:val="22"/>
                <w:szCs w:val="22"/>
              </w:rPr>
            </w:pPr>
            <w:r>
              <w:rPr>
                <w:color w:val="000000"/>
                <w:sz w:val="22"/>
                <w:szCs w:val="22"/>
              </w:rPr>
              <w:t>- CT, các PCT UBND tỉnh;</w:t>
            </w:r>
          </w:p>
          <w:p w:rsidR="00302A5E" w:rsidRDefault="002D1BE4">
            <w:pPr>
              <w:rPr>
                <w:color w:val="000000"/>
                <w:sz w:val="22"/>
                <w:szCs w:val="22"/>
              </w:rPr>
            </w:pPr>
            <w:r>
              <w:rPr>
                <w:color w:val="000000"/>
                <w:sz w:val="22"/>
                <w:szCs w:val="22"/>
              </w:rPr>
              <w:t>- TT.UBMTTQVN và các Đoàn thể tỉnh;</w:t>
            </w:r>
          </w:p>
          <w:p w:rsidR="00302A5E" w:rsidRDefault="002D1BE4">
            <w:pPr>
              <w:rPr>
                <w:color w:val="000000"/>
                <w:sz w:val="22"/>
                <w:szCs w:val="22"/>
              </w:rPr>
            </w:pPr>
            <w:r>
              <w:rPr>
                <w:color w:val="000000"/>
                <w:sz w:val="22"/>
                <w:szCs w:val="22"/>
              </w:rPr>
              <w:t xml:space="preserve">- TTPVHCC (cổng thông tin điện tử tỉnh); </w:t>
            </w:r>
          </w:p>
          <w:p w:rsidR="00302A5E" w:rsidRDefault="002D1BE4">
            <w:pPr>
              <w:rPr>
                <w:color w:val="000000"/>
                <w:sz w:val="22"/>
                <w:szCs w:val="22"/>
              </w:rPr>
            </w:pPr>
            <w:r>
              <w:rPr>
                <w:color w:val="000000"/>
                <w:sz w:val="22"/>
                <w:szCs w:val="22"/>
              </w:rPr>
              <w:t>- Phòng KTTC</w:t>
            </w:r>
            <w:r>
              <w:rPr>
                <w:color w:val="000000"/>
                <w:sz w:val="22"/>
                <w:szCs w:val="22"/>
              </w:rPr>
              <w:t>, CTHĐND;</w:t>
            </w:r>
          </w:p>
          <w:p w:rsidR="00302A5E" w:rsidRDefault="002D1BE4">
            <w:pPr>
              <w:rPr>
                <w:color w:val="000000"/>
                <w:sz w:val="22"/>
                <w:szCs w:val="22"/>
              </w:rPr>
            </w:pPr>
            <w:r>
              <w:rPr>
                <w:color w:val="000000"/>
                <w:sz w:val="22"/>
                <w:szCs w:val="22"/>
              </w:rPr>
              <w:t>-</w:t>
            </w:r>
            <w:r>
              <w:rPr>
                <w:color w:val="000000"/>
                <w:sz w:val="22"/>
                <w:szCs w:val="22"/>
                <w:lang w:val="vi-VN"/>
              </w:rPr>
              <w:t xml:space="preserve"> </w:t>
            </w:r>
            <w:r>
              <w:rPr>
                <w:color w:val="000000"/>
                <w:sz w:val="22"/>
                <w:szCs w:val="22"/>
              </w:rPr>
              <w:t>Lưu: VT, SGTVT, An.</w:t>
            </w:r>
          </w:p>
        </w:tc>
        <w:tc>
          <w:tcPr>
            <w:tcW w:w="4371" w:type="dxa"/>
            <w:shd w:val="clear" w:color="auto" w:fill="auto"/>
          </w:tcPr>
          <w:p w:rsidR="00302A5E" w:rsidRDefault="002D1BE4">
            <w:pPr>
              <w:jc w:val="center"/>
              <w:rPr>
                <w:b/>
                <w:color w:val="000000"/>
                <w:sz w:val="28"/>
                <w:szCs w:val="28"/>
              </w:rPr>
            </w:pPr>
            <w:r>
              <w:rPr>
                <w:b/>
                <w:color w:val="000000"/>
                <w:sz w:val="28"/>
                <w:szCs w:val="28"/>
              </w:rPr>
              <w:t>TM.ỦY BAN NHÂN DÂN</w:t>
            </w:r>
          </w:p>
          <w:p w:rsidR="00302A5E" w:rsidRDefault="002D1BE4">
            <w:pPr>
              <w:jc w:val="center"/>
              <w:rPr>
                <w:b/>
                <w:color w:val="000000"/>
                <w:sz w:val="28"/>
                <w:szCs w:val="28"/>
              </w:rPr>
            </w:pPr>
            <w:r>
              <w:rPr>
                <w:b/>
                <w:color w:val="000000"/>
                <w:sz w:val="28"/>
                <w:szCs w:val="28"/>
              </w:rPr>
              <w:t>KT. CHỦ TỊCH</w:t>
            </w:r>
          </w:p>
          <w:p w:rsidR="00302A5E" w:rsidRDefault="002D1BE4">
            <w:pPr>
              <w:jc w:val="center"/>
              <w:rPr>
                <w:b/>
                <w:color w:val="000000"/>
                <w:sz w:val="28"/>
                <w:szCs w:val="28"/>
              </w:rPr>
            </w:pPr>
            <w:r>
              <w:rPr>
                <w:b/>
                <w:color w:val="000000"/>
                <w:sz w:val="28"/>
                <w:szCs w:val="28"/>
              </w:rPr>
              <w:t>PHÓ CHỦ TỊCH</w:t>
            </w:r>
          </w:p>
          <w:p w:rsidR="00302A5E" w:rsidRDefault="00302A5E">
            <w:pPr>
              <w:jc w:val="center"/>
              <w:rPr>
                <w:b/>
                <w:color w:val="000000"/>
                <w:sz w:val="28"/>
                <w:szCs w:val="28"/>
              </w:rPr>
            </w:pPr>
          </w:p>
          <w:p w:rsidR="00302A5E" w:rsidRDefault="00302A5E">
            <w:pPr>
              <w:jc w:val="center"/>
              <w:rPr>
                <w:b/>
                <w:color w:val="000000"/>
                <w:sz w:val="28"/>
                <w:szCs w:val="28"/>
              </w:rPr>
            </w:pPr>
          </w:p>
          <w:p w:rsidR="00302A5E" w:rsidRDefault="00302A5E">
            <w:pPr>
              <w:jc w:val="center"/>
              <w:rPr>
                <w:b/>
                <w:color w:val="000000"/>
                <w:sz w:val="28"/>
                <w:szCs w:val="28"/>
              </w:rPr>
            </w:pPr>
          </w:p>
          <w:p w:rsidR="00302A5E" w:rsidRDefault="00302A5E">
            <w:pPr>
              <w:jc w:val="center"/>
              <w:rPr>
                <w:b/>
                <w:color w:val="000000"/>
                <w:sz w:val="28"/>
                <w:szCs w:val="28"/>
              </w:rPr>
            </w:pPr>
          </w:p>
          <w:p w:rsidR="00302A5E" w:rsidRDefault="00302A5E">
            <w:pPr>
              <w:jc w:val="center"/>
              <w:rPr>
                <w:b/>
                <w:color w:val="000000"/>
                <w:sz w:val="28"/>
                <w:szCs w:val="28"/>
              </w:rPr>
            </w:pPr>
          </w:p>
          <w:p w:rsidR="00302A5E" w:rsidRDefault="00302A5E">
            <w:pPr>
              <w:jc w:val="center"/>
              <w:rPr>
                <w:b/>
                <w:color w:val="000000"/>
                <w:sz w:val="28"/>
                <w:szCs w:val="28"/>
              </w:rPr>
            </w:pPr>
          </w:p>
          <w:p w:rsidR="00302A5E" w:rsidRDefault="00302A5E">
            <w:pPr>
              <w:jc w:val="center"/>
              <w:rPr>
                <w:b/>
                <w:color w:val="000000"/>
                <w:sz w:val="28"/>
                <w:szCs w:val="28"/>
              </w:rPr>
            </w:pPr>
          </w:p>
          <w:p w:rsidR="00302A5E" w:rsidRDefault="00302A5E">
            <w:pPr>
              <w:pStyle w:val="BodyTextIndent2"/>
              <w:ind w:firstLine="0"/>
              <w:jc w:val="center"/>
              <w:rPr>
                <w:rFonts w:ascii="Times New Roman" w:hAnsi="Times New Roman"/>
                <w:color w:val="000000"/>
                <w:szCs w:val="28"/>
                <w:lang w:val="vi-VN"/>
              </w:rPr>
            </w:pPr>
          </w:p>
        </w:tc>
      </w:tr>
    </w:tbl>
    <w:p w:rsidR="00302A5E" w:rsidRDefault="00302A5E">
      <w:pPr>
        <w:tabs>
          <w:tab w:val="left" w:pos="991"/>
          <w:tab w:val="center" w:pos="4834"/>
        </w:tabs>
        <w:spacing w:before="120" w:after="120"/>
        <w:ind w:firstLine="709"/>
        <w:rPr>
          <w:sz w:val="28"/>
          <w:szCs w:val="28"/>
        </w:rPr>
      </w:pPr>
    </w:p>
    <w:sectPr w:rsidR="00302A5E">
      <w:footerReference w:type="default" r:id="rId8"/>
      <w:pgSz w:w="11907" w:h="16840"/>
      <w:pgMar w:top="1135" w:right="1247" w:bottom="1134" w:left="1701" w:header="567"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E4" w:rsidRDefault="002D1BE4">
      <w:r>
        <w:separator/>
      </w:r>
    </w:p>
  </w:endnote>
  <w:endnote w:type="continuationSeparator" w:id="0">
    <w:p w:rsidR="002D1BE4" w:rsidRDefault="002D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5E" w:rsidRDefault="002D1BE4">
    <w:pPr>
      <w:pStyle w:val="Footer"/>
      <w:jc w:val="right"/>
    </w:pPr>
    <w:r>
      <w:fldChar w:fldCharType="begin"/>
    </w:r>
    <w:r>
      <w:instrText xml:space="preserve"> PAGE   \* MERGEFORMAT </w:instrText>
    </w:r>
    <w:r>
      <w:fldChar w:fldCharType="separate"/>
    </w:r>
    <w:r w:rsidR="00A963F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E4" w:rsidRDefault="002D1BE4">
      <w:r>
        <w:separator/>
      </w:r>
    </w:p>
  </w:footnote>
  <w:footnote w:type="continuationSeparator" w:id="0">
    <w:p w:rsidR="002D1BE4" w:rsidRDefault="002D1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6362"/>
    <w:multiLevelType w:val="hybridMultilevel"/>
    <w:tmpl w:val="FF66B942"/>
    <w:lvl w:ilvl="0" w:tplc="88EE7F1A">
      <w:start w:val="1"/>
      <w:numFmt w:val="upperRoman"/>
      <w:lvlText w:val="%1."/>
      <w:lvlJc w:val="left"/>
      <w:pPr>
        <w:ind w:left="1080" w:hanging="720"/>
      </w:pPr>
      <w:rPr>
        <w:rFonts w:hint="default"/>
      </w:rPr>
    </w:lvl>
    <w:lvl w:ilvl="1" w:tplc="A93A7F2A">
      <w:start w:val="1"/>
      <w:numFmt w:val="lowerLetter"/>
      <w:lvlText w:val="%2."/>
      <w:lvlJc w:val="left"/>
      <w:pPr>
        <w:ind w:left="1440" w:hanging="360"/>
      </w:pPr>
    </w:lvl>
    <w:lvl w:ilvl="2" w:tplc="DDDE19E2">
      <w:start w:val="1"/>
      <w:numFmt w:val="lowerRoman"/>
      <w:lvlText w:val="%3."/>
      <w:lvlJc w:val="right"/>
      <w:pPr>
        <w:ind w:left="2160" w:hanging="180"/>
      </w:pPr>
    </w:lvl>
    <w:lvl w:ilvl="3" w:tplc="32B22D7C">
      <w:start w:val="1"/>
      <w:numFmt w:val="decimal"/>
      <w:lvlText w:val="%4."/>
      <w:lvlJc w:val="left"/>
      <w:pPr>
        <w:ind w:left="2880" w:hanging="360"/>
      </w:pPr>
    </w:lvl>
    <w:lvl w:ilvl="4" w:tplc="60F278D6">
      <w:start w:val="1"/>
      <w:numFmt w:val="lowerLetter"/>
      <w:lvlText w:val="%5."/>
      <w:lvlJc w:val="left"/>
      <w:pPr>
        <w:ind w:left="3600" w:hanging="360"/>
      </w:pPr>
    </w:lvl>
    <w:lvl w:ilvl="5" w:tplc="2A902004">
      <w:start w:val="1"/>
      <w:numFmt w:val="lowerRoman"/>
      <w:lvlText w:val="%6."/>
      <w:lvlJc w:val="right"/>
      <w:pPr>
        <w:ind w:left="4320" w:hanging="180"/>
      </w:pPr>
    </w:lvl>
    <w:lvl w:ilvl="6" w:tplc="82F0A316">
      <w:start w:val="1"/>
      <w:numFmt w:val="decimal"/>
      <w:lvlText w:val="%7."/>
      <w:lvlJc w:val="left"/>
      <w:pPr>
        <w:ind w:left="5040" w:hanging="360"/>
      </w:pPr>
    </w:lvl>
    <w:lvl w:ilvl="7" w:tplc="1E9C9E38">
      <w:start w:val="1"/>
      <w:numFmt w:val="lowerLetter"/>
      <w:lvlText w:val="%8."/>
      <w:lvlJc w:val="left"/>
      <w:pPr>
        <w:ind w:left="5760" w:hanging="360"/>
      </w:pPr>
    </w:lvl>
    <w:lvl w:ilvl="8" w:tplc="626E9C6E">
      <w:start w:val="1"/>
      <w:numFmt w:val="lowerRoman"/>
      <w:lvlText w:val="%9."/>
      <w:lvlJc w:val="right"/>
      <w:pPr>
        <w:ind w:left="6480" w:hanging="180"/>
      </w:pPr>
    </w:lvl>
  </w:abstractNum>
  <w:abstractNum w:abstractNumId="1">
    <w:nsid w:val="2857418A"/>
    <w:multiLevelType w:val="hybridMultilevel"/>
    <w:tmpl w:val="3AD469B6"/>
    <w:lvl w:ilvl="0" w:tplc="CBF4DE58">
      <w:start w:val="1"/>
      <w:numFmt w:val="bullet"/>
      <w:lvlText w:val="-"/>
      <w:lvlJc w:val="left"/>
      <w:pPr>
        <w:ind w:left="796" w:hanging="360"/>
      </w:pPr>
      <w:rPr>
        <w:rFonts w:ascii="Times New Roman" w:eastAsia="Times New Roman" w:hAnsi="Times New Roman" w:cs="Times New Roman" w:hint="default"/>
      </w:rPr>
    </w:lvl>
    <w:lvl w:ilvl="1" w:tplc="5CA48544">
      <w:start w:val="1"/>
      <w:numFmt w:val="bullet"/>
      <w:lvlText w:val="o"/>
      <w:lvlJc w:val="left"/>
      <w:pPr>
        <w:ind w:left="1516" w:hanging="360"/>
      </w:pPr>
      <w:rPr>
        <w:rFonts w:ascii="Courier New" w:hAnsi="Courier New" w:cs="Courier New" w:hint="default"/>
      </w:rPr>
    </w:lvl>
    <w:lvl w:ilvl="2" w:tplc="051EB894">
      <w:start w:val="1"/>
      <w:numFmt w:val="bullet"/>
      <w:lvlText w:val=""/>
      <w:lvlJc w:val="left"/>
      <w:pPr>
        <w:ind w:left="2236" w:hanging="360"/>
      </w:pPr>
      <w:rPr>
        <w:rFonts w:ascii="Wingdings" w:hAnsi="Wingdings" w:hint="default"/>
      </w:rPr>
    </w:lvl>
    <w:lvl w:ilvl="3" w:tplc="941EB522">
      <w:start w:val="1"/>
      <w:numFmt w:val="bullet"/>
      <w:lvlText w:val=""/>
      <w:lvlJc w:val="left"/>
      <w:pPr>
        <w:ind w:left="2956" w:hanging="360"/>
      </w:pPr>
      <w:rPr>
        <w:rFonts w:ascii="Symbol" w:hAnsi="Symbol" w:hint="default"/>
      </w:rPr>
    </w:lvl>
    <w:lvl w:ilvl="4" w:tplc="79761C7E">
      <w:start w:val="1"/>
      <w:numFmt w:val="bullet"/>
      <w:lvlText w:val="o"/>
      <w:lvlJc w:val="left"/>
      <w:pPr>
        <w:ind w:left="3676" w:hanging="360"/>
      </w:pPr>
      <w:rPr>
        <w:rFonts w:ascii="Courier New" w:hAnsi="Courier New" w:cs="Courier New" w:hint="default"/>
      </w:rPr>
    </w:lvl>
    <w:lvl w:ilvl="5" w:tplc="84005F6E">
      <w:start w:val="1"/>
      <w:numFmt w:val="bullet"/>
      <w:lvlText w:val=""/>
      <w:lvlJc w:val="left"/>
      <w:pPr>
        <w:ind w:left="4396" w:hanging="360"/>
      </w:pPr>
      <w:rPr>
        <w:rFonts w:ascii="Wingdings" w:hAnsi="Wingdings" w:hint="default"/>
      </w:rPr>
    </w:lvl>
    <w:lvl w:ilvl="6" w:tplc="7D7224F0">
      <w:start w:val="1"/>
      <w:numFmt w:val="bullet"/>
      <w:lvlText w:val=""/>
      <w:lvlJc w:val="left"/>
      <w:pPr>
        <w:ind w:left="5116" w:hanging="360"/>
      </w:pPr>
      <w:rPr>
        <w:rFonts w:ascii="Symbol" w:hAnsi="Symbol" w:hint="default"/>
      </w:rPr>
    </w:lvl>
    <w:lvl w:ilvl="7" w:tplc="8D068BDE">
      <w:start w:val="1"/>
      <w:numFmt w:val="bullet"/>
      <w:lvlText w:val="o"/>
      <w:lvlJc w:val="left"/>
      <w:pPr>
        <w:ind w:left="5836" w:hanging="360"/>
      </w:pPr>
      <w:rPr>
        <w:rFonts w:ascii="Courier New" w:hAnsi="Courier New" w:cs="Courier New" w:hint="default"/>
      </w:rPr>
    </w:lvl>
    <w:lvl w:ilvl="8" w:tplc="26BA1920">
      <w:start w:val="1"/>
      <w:numFmt w:val="bullet"/>
      <w:lvlText w:val=""/>
      <w:lvlJc w:val="left"/>
      <w:pPr>
        <w:ind w:left="6556" w:hanging="360"/>
      </w:pPr>
      <w:rPr>
        <w:rFonts w:ascii="Wingdings" w:hAnsi="Wingdings" w:hint="default"/>
      </w:rPr>
    </w:lvl>
  </w:abstractNum>
  <w:abstractNum w:abstractNumId="2">
    <w:nsid w:val="323A1F82"/>
    <w:multiLevelType w:val="hybridMultilevel"/>
    <w:tmpl w:val="00D668F2"/>
    <w:lvl w:ilvl="0" w:tplc="69EAB2EC">
      <w:start w:val="1"/>
      <w:numFmt w:val="decimal"/>
      <w:lvlText w:val="%1."/>
      <w:lvlJc w:val="left"/>
      <w:pPr>
        <w:ind w:left="1069" w:hanging="360"/>
      </w:pPr>
      <w:rPr>
        <w:rFonts w:hint="default"/>
      </w:rPr>
    </w:lvl>
    <w:lvl w:ilvl="1" w:tplc="A028B7BE">
      <w:start w:val="1"/>
      <w:numFmt w:val="lowerLetter"/>
      <w:lvlText w:val="%2."/>
      <w:lvlJc w:val="left"/>
      <w:pPr>
        <w:ind w:left="1789" w:hanging="360"/>
      </w:pPr>
    </w:lvl>
    <w:lvl w:ilvl="2" w:tplc="97065BE4">
      <w:start w:val="1"/>
      <w:numFmt w:val="lowerRoman"/>
      <w:lvlText w:val="%3."/>
      <w:lvlJc w:val="right"/>
      <w:pPr>
        <w:ind w:left="2509" w:hanging="180"/>
      </w:pPr>
    </w:lvl>
    <w:lvl w:ilvl="3" w:tplc="B8DEC43C">
      <w:start w:val="1"/>
      <w:numFmt w:val="decimal"/>
      <w:lvlText w:val="%4."/>
      <w:lvlJc w:val="left"/>
      <w:pPr>
        <w:ind w:left="3229" w:hanging="360"/>
      </w:pPr>
    </w:lvl>
    <w:lvl w:ilvl="4" w:tplc="C178BB3C">
      <w:start w:val="1"/>
      <w:numFmt w:val="lowerLetter"/>
      <w:lvlText w:val="%5."/>
      <w:lvlJc w:val="left"/>
      <w:pPr>
        <w:ind w:left="3949" w:hanging="360"/>
      </w:pPr>
    </w:lvl>
    <w:lvl w:ilvl="5" w:tplc="8D22EEA2">
      <w:start w:val="1"/>
      <w:numFmt w:val="lowerRoman"/>
      <w:lvlText w:val="%6."/>
      <w:lvlJc w:val="right"/>
      <w:pPr>
        <w:ind w:left="4669" w:hanging="180"/>
      </w:pPr>
    </w:lvl>
    <w:lvl w:ilvl="6" w:tplc="75F0DA18">
      <w:start w:val="1"/>
      <w:numFmt w:val="decimal"/>
      <w:lvlText w:val="%7."/>
      <w:lvlJc w:val="left"/>
      <w:pPr>
        <w:ind w:left="5389" w:hanging="360"/>
      </w:pPr>
    </w:lvl>
    <w:lvl w:ilvl="7" w:tplc="8DFCA822">
      <w:start w:val="1"/>
      <w:numFmt w:val="lowerLetter"/>
      <w:lvlText w:val="%8."/>
      <w:lvlJc w:val="left"/>
      <w:pPr>
        <w:ind w:left="6109" w:hanging="360"/>
      </w:pPr>
    </w:lvl>
    <w:lvl w:ilvl="8" w:tplc="BCE8A962">
      <w:start w:val="1"/>
      <w:numFmt w:val="lowerRoman"/>
      <w:lvlText w:val="%9."/>
      <w:lvlJc w:val="right"/>
      <w:pPr>
        <w:ind w:left="6829" w:hanging="180"/>
      </w:pPr>
    </w:lvl>
  </w:abstractNum>
  <w:abstractNum w:abstractNumId="3">
    <w:nsid w:val="33CC5FC8"/>
    <w:multiLevelType w:val="hybridMultilevel"/>
    <w:tmpl w:val="8A80F626"/>
    <w:lvl w:ilvl="0" w:tplc="9BC66E06">
      <w:start w:val="1"/>
      <w:numFmt w:val="bullet"/>
      <w:lvlText w:val="-"/>
      <w:lvlJc w:val="left"/>
      <w:pPr>
        <w:ind w:left="3960" w:hanging="360"/>
      </w:pPr>
      <w:rPr>
        <w:rFonts w:ascii="Times New Roman" w:eastAsia="Times New Roman" w:hAnsi="Times New Roman" w:cs="Times New Roman" w:hint="default"/>
      </w:rPr>
    </w:lvl>
    <w:lvl w:ilvl="1" w:tplc="51B0438E">
      <w:start w:val="1"/>
      <w:numFmt w:val="bullet"/>
      <w:lvlText w:val="o"/>
      <w:lvlJc w:val="left"/>
      <w:pPr>
        <w:ind w:left="4680" w:hanging="360"/>
      </w:pPr>
      <w:rPr>
        <w:rFonts w:ascii="Courier New" w:hAnsi="Courier New" w:cs="Courier New" w:hint="default"/>
      </w:rPr>
    </w:lvl>
    <w:lvl w:ilvl="2" w:tplc="29BA2EE0">
      <w:start w:val="1"/>
      <w:numFmt w:val="bullet"/>
      <w:lvlText w:val=""/>
      <w:lvlJc w:val="left"/>
      <w:pPr>
        <w:ind w:left="5400" w:hanging="360"/>
      </w:pPr>
      <w:rPr>
        <w:rFonts w:ascii="Wingdings" w:hAnsi="Wingdings" w:hint="default"/>
      </w:rPr>
    </w:lvl>
    <w:lvl w:ilvl="3" w:tplc="BF06CEE0">
      <w:start w:val="1"/>
      <w:numFmt w:val="bullet"/>
      <w:lvlText w:val=""/>
      <w:lvlJc w:val="left"/>
      <w:pPr>
        <w:ind w:left="6120" w:hanging="360"/>
      </w:pPr>
      <w:rPr>
        <w:rFonts w:ascii="Symbol" w:hAnsi="Symbol" w:hint="default"/>
      </w:rPr>
    </w:lvl>
    <w:lvl w:ilvl="4" w:tplc="04C8D0AE">
      <w:start w:val="1"/>
      <w:numFmt w:val="bullet"/>
      <w:lvlText w:val="o"/>
      <w:lvlJc w:val="left"/>
      <w:pPr>
        <w:ind w:left="6840" w:hanging="360"/>
      </w:pPr>
      <w:rPr>
        <w:rFonts w:ascii="Courier New" w:hAnsi="Courier New" w:cs="Courier New" w:hint="default"/>
      </w:rPr>
    </w:lvl>
    <w:lvl w:ilvl="5" w:tplc="2F229D6C">
      <w:start w:val="1"/>
      <w:numFmt w:val="bullet"/>
      <w:lvlText w:val=""/>
      <w:lvlJc w:val="left"/>
      <w:pPr>
        <w:ind w:left="7560" w:hanging="360"/>
      </w:pPr>
      <w:rPr>
        <w:rFonts w:ascii="Wingdings" w:hAnsi="Wingdings" w:hint="default"/>
      </w:rPr>
    </w:lvl>
    <w:lvl w:ilvl="6" w:tplc="DB46A60A">
      <w:start w:val="1"/>
      <w:numFmt w:val="bullet"/>
      <w:lvlText w:val=""/>
      <w:lvlJc w:val="left"/>
      <w:pPr>
        <w:ind w:left="8280" w:hanging="360"/>
      </w:pPr>
      <w:rPr>
        <w:rFonts w:ascii="Symbol" w:hAnsi="Symbol" w:hint="default"/>
      </w:rPr>
    </w:lvl>
    <w:lvl w:ilvl="7" w:tplc="57CA30F8">
      <w:start w:val="1"/>
      <w:numFmt w:val="bullet"/>
      <w:lvlText w:val="o"/>
      <w:lvlJc w:val="left"/>
      <w:pPr>
        <w:ind w:left="9000" w:hanging="360"/>
      </w:pPr>
      <w:rPr>
        <w:rFonts w:ascii="Courier New" w:hAnsi="Courier New" w:cs="Courier New" w:hint="default"/>
      </w:rPr>
    </w:lvl>
    <w:lvl w:ilvl="8" w:tplc="F91C5F2C">
      <w:start w:val="1"/>
      <w:numFmt w:val="bullet"/>
      <w:lvlText w:val=""/>
      <w:lvlJc w:val="left"/>
      <w:pPr>
        <w:ind w:left="9720" w:hanging="360"/>
      </w:pPr>
      <w:rPr>
        <w:rFonts w:ascii="Wingdings" w:hAnsi="Wingdings" w:hint="default"/>
      </w:rPr>
    </w:lvl>
  </w:abstractNum>
  <w:abstractNum w:abstractNumId="4">
    <w:nsid w:val="3CFA1263"/>
    <w:multiLevelType w:val="hybridMultilevel"/>
    <w:tmpl w:val="1324D2E0"/>
    <w:lvl w:ilvl="0" w:tplc="708637B2">
      <w:start w:val="1"/>
      <w:numFmt w:val="decimal"/>
      <w:lvlText w:val="%1."/>
      <w:lvlJc w:val="left"/>
      <w:pPr>
        <w:ind w:left="927" w:hanging="360"/>
      </w:pPr>
      <w:rPr>
        <w:rFonts w:hint="default"/>
        <w:b/>
      </w:rPr>
    </w:lvl>
    <w:lvl w:ilvl="1" w:tplc="2D0CB14A">
      <w:start w:val="1"/>
      <w:numFmt w:val="lowerLetter"/>
      <w:lvlText w:val="%2."/>
      <w:lvlJc w:val="left"/>
      <w:pPr>
        <w:ind w:left="1647" w:hanging="360"/>
      </w:pPr>
    </w:lvl>
    <w:lvl w:ilvl="2" w:tplc="FC4C84F6">
      <w:start w:val="1"/>
      <w:numFmt w:val="lowerRoman"/>
      <w:lvlText w:val="%3."/>
      <w:lvlJc w:val="right"/>
      <w:pPr>
        <w:ind w:left="2367" w:hanging="180"/>
      </w:pPr>
    </w:lvl>
    <w:lvl w:ilvl="3" w:tplc="6AD25074">
      <w:start w:val="1"/>
      <w:numFmt w:val="decimal"/>
      <w:lvlText w:val="%4."/>
      <w:lvlJc w:val="left"/>
      <w:pPr>
        <w:ind w:left="3087" w:hanging="360"/>
      </w:pPr>
    </w:lvl>
    <w:lvl w:ilvl="4" w:tplc="EDFA4722">
      <w:start w:val="1"/>
      <w:numFmt w:val="lowerLetter"/>
      <w:lvlText w:val="%5."/>
      <w:lvlJc w:val="left"/>
      <w:pPr>
        <w:ind w:left="3807" w:hanging="360"/>
      </w:pPr>
    </w:lvl>
    <w:lvl w:ilvl="5" w:tplc="50D6A4F8">
      <w:start w:val="1"/>
      <w:numFmt w:val="lowerRoman"/>
      <w:lvlText w:val="%6."/>
      <w:lvlJc w:val="right"/>
      <w:pPr>
        <w:ind w:left="4527" w:hanging="180"/>
      </w:pPr>
    </w:lvl>
    <w:lvl w:ilvl="6" w:tplc="57B2C876">
      <w:start w:val="1"/>
      <w:numFmt w:val="decimal"/>
      <w:lvlText w:val="%7."/>
      <w:lvlJc w:val="left"/>
      <w:pPr>
        <w:ind w:left="5247" w:hanging="360"/>
      </w:pPr>
    </w:lvl>
    <w:lvl w:ilvl="7" w:tplc="F8D6C51C">
      <w:start w:val="1"/>
      <w:numFmt w:val="lowerLetter"/>
      <w:lvlText w:val="%8."/>
      <w:lvlJc w:val="left"/>
      <w:pPr>
        <w:ind w:left="5967" w:hanging="360"/>
      </w:pPr>
    </w:lvl>
    <w:lvl w:ilvl="8" w:tplc="4754C80A">
      <w:start w:val="1"/>
      <w:numFmt w:val="lowerRoman"/>
      <w:lvlText w:val="%9."/>
      <w:lvlJc w:val="right"/>
      <w:pPr>
        <w:ind w:left="6687" w:hanging="180"/>
      </w:pPr>
    </w:lvl>
  </w:abstractNum>
  <w:abstractNum w:abstractNumId="5">
    <w:nsid w:val="445A64E3"/>
    <w:multiLevelType w:val="hybridMultilevel"/>
    <w:tmpl w:val="28D84CA2"/>
    <w:lvl w:ilvl="0" w:tplc="3580C416">
      <w:start w:val="2"/>
      <w:numFmt w:val="bullet"/>
      <w:lvlText w:val="-"/>
      <w:lvlJc w:val="left"/>
      <w:pPr>
        <w:ind w:left="1070" w:hanging="360"/>
      </w:pPr>
      <w:rPr>
        <w:rFonts w:ascii="Times New Roman" w:eastAsia="Times New Roman" w:hAnsi="Times New Roman" w:cs="Times New Roman" w:hint="default"/>
        <w:b w:val="0"/>
      </w:rPr>
    </w:lvl>
    <w:lvl w:ilvl="1" w:tplc="2A544194">
      <w:start w:val="1"/>
      <w:numFmt w:val="bullet"/>
      <w:lvlText w:val="o"/>
      <w:lvlJc w:val="left"/>
      <w:pPr>
        <w:ind w:left="1790" w:hanging="360"/>
      </w:pPr>
      <w:rPr>
        <w:rFonts w:ascii="Courier New" w:hAnsi="Courier New" w:cs="Courier New" w:hint="default"/>
      </w:rPr>
    </w:lvl>
    <w:lvl w:ilvl="2" w:tplc="5F76B9DA">
      <w:start w:val="1"/>
      <w:numFmt w:val="bullet"/>
      <w:lvlText w:val=""/>
      <w:lvlJc w:val="left"/>
      <w:pPr>
        <w:ind w:left="2510" w:hanging="360"/>
      </w:pPr>
      <w:rPr>
        <w:rFonts w:ascii="Wingdings" w:hAnsi="Wingdings" w:hint="default"/>
      </w:rPr>
    </w:lvl>
    <w:lvl w:ilvl="3" w:tplc="799A9CCA">
      <w:start w:val="1"/>
      <w:numFmt w:val="bullet"/>
      <w:lvlText w:val=""/>
      <w:lvlJc w:val="left"/>
      <w:pPr>
        <w:ind w:left="3230" w:hanging="360"/>
      </w:pPr>
      <w:rPr>
        <w:rFonts w:ascii="Symbol" w:hAnsi="Symbol" w:hint="default"/>
      </w:rPr>
    </w:lvl>
    <w:lvl w:ilvl="4" w:tplc="7464C2FA">
      <w:start w:val="1"/>
      <w:numFmt w:val="bullet"/>
      <w:lvlText w:val="o"/>
      <w:lvlJc w:val="left"/>
      <w:pPr>
        <w:ind w:left="3950" w:hanging="360"/>
      </w:pPr>
      <w:rPr>
        <w:rFonts w:ascii="Courier New" w:hAnsi="Courier New" w:cs="Courier New" w:hint="default"/>
      </w:rPr>
    </w:lvl>
    <w:lvl w:ilvl="5" w:tplc="67FC9810">
      <w:start w:val="1"/>
      <w:numFmt w:val="bullet"/>
      <w:lvlText w:val=""/>
      <w:lvlJc w:val="left"/>
      <w:pPr>
        <w:ind w:left="4670" w:hanging="360"/>
      </w:pPr>
      <w:rPr>
        <w:rFonts w:ascii="Wingdings" w:hAnsi="Wingdings" w:hint="default"/>
      </w:rPr>
    </w:lvl>
    <w:lvl w:ilvl="6" w:tplc="4664C7BC">
      <w:start w:val="1"/>
      <w:numFmt w:val="bullet"/>
      <w:lvlText w:val=""/>
      <w:lvlJc w:val="left"/>
      <w:pPr>
        <w:ind w:left="5390" w:hanging="360"/>
      </w:pPr>
      <w:rPr>
        <w:rFonts w:ascii="Symbol" w:hAnsi="Symbol" w:hint="default"/>
      </w:rPr>
    </w:lvl>
    <w:lvl w:ilvl="7" w:tplc="27B47792">
      <w:start w:val="1"/>
      <w:numFmt w:val="bullet"/>
      <w:lvlText w:val="o"/>
      <w:lvlJc w:val="left"/>
      <w:pPr>
        <w:ind w:left="6110" w:hanging="360"/>
      </w:pPr>
      <w:rPr>
        <w:rFonts w:ascii="Courier New" w:hAnsi="Courier New" w:cs="Courier New" w:hint="default"/>
      </w:rPr>
    </w:lvl>
    <w:lvl w:ilvl="8" w:tplc="A898663E">
      <w:start w:val="1"/>
      <w:numFmt w:val="bullet"/>
      <w:lvlText w:val=""/>
      <w:lvlJc w:val="left"/>
      <w:pPr>
        <w:ind w:left="6830" w:hanging="360"/>
      </w:pPr>
      <w:rPr>
        <w:rFonts w:ascii="Wingdings" w:hAnsi="Wingdings" w:hint="default"/>
      </w:rPr>
    </w:lvl>
  </w:abstractNum>
  <w:abstractNum w:abstractNumId="6">
    <w:nsid w:val="50C30B5F"/>
    <w:multiLevelType w:val="hybridMultilevel"/>
    <w:tmpl w:val="EA10FC72"/>
    <w:lvl w:ilvl="0" w:tplc="4880D1DC">
      <w:start w:val="1"/>
      <w:numFmt w:val="decimal"/>
      <w:lvlText w:val="%1."/>
      <w:lvlJc w:val="left"/>
      <w:pPr>
        <w:ind w:left="920" w:hanging="360"/>
      </w:pPr>
      <w:rPr>
        <w:rFonts w:hint="default"/>
      </w:rPr>
    </w:lvl>
    <w:lvl w:ilvl="1" w:tplc="77EAAE32">
      <w:start w:val="1"/>
      <w:numFmt w:val="lowerLetter"/>
      <w:lvlText w:val="%2."/>
      <w:lvlJc w:val="left"/>
      <w:pPr>
        <w:ind w:left="1640" w:hanging="360"/>
      </w:pPr>
    </w:lvl>
    <w:lvl w:ilvl="2" w:tplc="4364B4E0">
      <w:start w:val="1"/>
      <w:numFmt w:val="lowerRoman"/>
      <w:lvlText w:val="%3."/>
      <w:lvlJc w:val="right"/>
      <w:pPr>
        <w:ind w:left="2360" w:hanging="180"/>
      </w:pPr>
    </w:lvl>
    <w:lvl w:ilvl="3" w:tplc="6D225100">
      <w:start w:val="1"/>
      <w:numFmt w:val="decimal"/>
      <w:lvlText w:val="%4."/>
      <w:lvlJc w:val="left"/>
      <w:pPr>
        <w:ind w:left="3080" w:hanging="360"/>
      </w:pPr>
    </w:lvl>
    <w:lvl w:ilvl="4" w:tplc="F7647536">
      <w:start w:val="1"/>
      <w:numFmt w:val="lowerLetter"/>
      <w:lvlText w:val="%5."/>
      <w:lvlJc w:val="left"/>
      <w:pPr>
        <w:ind w:left="3800" w:hanging="360"/>
      </w:pPr>
    </w:lvl>
    <w:lvl w:ilvl="5" w:tplc="021C54CA">
      <w:start w:val="1"/>
      <w:numFmt w:val="lowerRoman"/>
      <w:lvlText w:val="%6."/>
      <w:lvlJc w:val="right"/>
      <w:pPr>
        <w:ind w:left="4520" w:hanging="180"/>
      </w:pPr>
    </w:lvl>
    <w:lvl w:ilvl="6" w:tplc="1C94CD0E">
      <w:start w:val="1"/>
      <w:numFmt w:val="decimal"/>
      <w:lvlText w:val="%7."/>
      <w:lvlJc w:val="left"/>
      <w:pPr>
        <w:ind w:left="5240" w:hanging="360"/>
      </w:pPr>
    </w:lvl>
    <w:lvl w:ilvl="7" w:tplc="0F22D17C">
      <w:start w:val="1"/>
      <w:numFmt w:val="lowerLetter"/>
      <w:lvlText w:val="%8."/>
      <w:lvlJc w:val="left"/>
      <w:pPr>
        <w:ind w:left="5960" w:hanging="360"/>
      </w:pPr>
    </w:lvl>
    <w:lvl w:ilvl="8" w:tplc="2F289996">
      <w:start w:val="1"/>
      <w:numFmt w:val="lowerRoman"/>
      <w:lvlText w:val="%9."/>
      <w:lvlJc w:val="right"/>
      <w:pPr>
        <w:ind w:left="6680" w:hanging="180"/>
      </w:pPr>
    </w:lvl>
  </w:abstractNum>
  <w:abstractNum w:abstractNumId="7">
    <w:nsid w:val="593938A3"/>
    <w:multiLevelType w:val="hybridMultilevel"/>
    <w:tmpl w:val="EF728D08"/>
    <w:lvl w:ilvl="0" w:tplc="F0A0B004">
      <w:start w:val="1"/>
      <w:numFmt w:val="upperRoman"/>
      <w:lvlText w:val="%1."/>
      <w:lvlJc w:val="left"/>
      <w:pPr>
        <w:ind w:left="1156" w:hanging="720"/>
      </w:pPr>
      <w:rPr>
        <w:rFonts w:hint="default"/>
      </w:rPr>
    </w:lvl>
    <w:lvl w:ilvl="1" w:tplc="16040382">
      <w:start w:val="1"/>
      <w:numFmt w:val="lowerLetter"/>
      <w:lvlText w:val="%2."/>
      <w:lvlJc w:val="left"/>
      <w:pPr>
        <w:ind w:left="1516" w:hanging="360"/>
      </w:pPr>
    </w:lvl>
    <w:lvl w:ilvl="2" w:tplc="E006EDE6">
      <w:start w:val="1"/>
      <w:numFmt w:val="lowerRoman"/>
      <w:lvlText w:val="%3."/>
      <w:lvlJc w:val="right"/>
      <w:pPr>
        <w:ind w:left="2236" w:hanging="180"/>
      </w:pPr>
    </w:lvl>
    <w:lvl w:ilvl="3" w:tplc="2F3A4CB2">
      <w:start w:val="1"/>
      <w:numFmt w:val="decimal"/>
      <w:lvlText w:val="%4."/>
      <w:lvlJc w:val="left"/>
      <w:pPr>
        <w:ind w:left="2956" w:hanging="360"/>
      </w:pPr>
    </w:lvl>
    <w:lvl w:ilvl="4" w:tplc="BCDAA27C">
      <w:start w:val="1"/>
      <w:numFmt w:val="lowerLetter"/>
      <w:lvlText w:val="%5."/>
      <w:lvlJc w:val="left"/>
      <w:pPr>
        <w:ind w:left="3676" w:hanging="360"/>
      </w:pPr>
    </w:lvl>
    <w:lvl w:ilvl="5" w:tplc="FAD2F3E8">
      <w:start w:val="1"/>
      <w:numFmt w:val="lowerRoman"/>
      <w:lvlText w:val="%6."/>
      <w:lvlJc w:val="right"/>
      <w:pPr>
        <w:ind w:left="4396" w:hanging="180"/>
      </w:pPr>
    </w:lvl>
    <w:lvl w:ilvl="6" w:tplc="97A86C96">
      <w:start w:val="1"/>
      <w:numFmt w:val="decimal"/>
      <w:lvlText w:val="%7."/>
      <w:lvlJc w:val="left"/>
      <w:pPr>
        <w:ind w:left="5116" w:hanging="360"/>
      </w:pPr>
    </w:lvl>
    <w:lvl w:ilvl="7" w:tplc="58228D74">
      <w:start w:val="1"/>
      <w:numFmt w:val="lowerLetter"/>
      <w:lvlText w:val="%8."/>
      <w:lvlJc w:val="left"/>
      <w:pPr>
        <w:ind w:left="5836" w:hanging="360"/>
      </w:pPr>
    </w:lvl>
    <w:lvl w:ilvl="8" w:tplc="0FC683E2">
      <w:start w:val="1"/>
      <w:numFmt w:val="lowerRoman"/>
      <w:lvlText w:val="%9."/>
      <w:lvlJc w:val="right"/>
      <w:pPr>
        <w:ind w:left="6556" w:hanging="180"/>
      </w:pPr>
    </w:lvl>
  </w:abstractNum>
  <w:abstractNum w:abstractNumId="8">
    <w:nsid w:val="5A0E0275"/>
    <w:multiLevelType w:val="hybridMultilevel"/>
    <w:tmpl w:val="F2D2E686"/>
    <w:lvl w:ilvl="0" w:tplc="27FEC70E">
      <w:start w:val="4"/>
      <w:numFmt w:val="bullet"/>
      <w:lvlText w:val="-"/>
      <w:lvlJc w:val="left"/>
      <w:pPr>
        <w:ind w:left="796" w:hanging="360"/>
      </w:pPr>
      <w:rPr>
        <w:rFonts w:ascii="Times New Roman" w:eastAsia="Times New Roman" w:hAnsi="Times New Roman" w:cs="Times New Roman" w:hint="default"/>
      </w:rPr>
    </w:lvl>
    <w:lvl w:ilvl="1" w:tplc="FF62EFF0">
      <w:start w:val="1"/>
      <w:numFmt w:val="bullet"/>
      <w:lvlText w:val="o"/>
      <w:lvlJc w:val="left"/>
      <w:pPr>
        <w:ind w:left="1516" w:hanging="360"/>
      </w:pPr>
      <w:rPr>
        <w:rFonts w:ascii="Courier New" w:hAnsi="Courier New" w:cs="Courier New" w:hint="default"/>
      </w:rPr>
    </w:lvl>
    <w:lvl w:ilvl="2" w:tplc="548874F2">
      <w:start w:val="1"/>
      <w:numFmt w:val="bullet"/>
      <w:lvlText w:val=""/>
      <w:lvlJc w:val="left"/>
      <w:pPr>
        <w:ind w:left="2236" w:hanging="360"/>
      </w:pPr>
      <w:rPr>
        <w:rFonts w:ascii="Wingdings" w:hAnsi="Wingdings" w:hint="default"/>
      </w:rPr>
    </w:lvl>
    <w:lvl w:ilvl="3" w:tplc="0CC4253E">
      <w:start w:val="1"/>
      <w:numFmt w:val="bullet"/>
      <w:lvlText w:val=""/>
      <w:lvlJc w:val="left"/>
      <w:pPr>
        <w:ind w:left="2956" w:hanging="360"/>
      </w:pPr>
      <w:rPr>
        <w:rFonts w:ascii="Symbol" w:hAnsi="Symbol" w:hint="default"/>
      </w:rPr>
    </w:lvl>
    <w:lvl w:ilvl="4" w:tplc="46C43F32">
      <w:start w:val="1"/>
      <w:numFmt w:val="bullet"/>
      <w:lvlText w:val="o"/>
      <w:lvlJc w:val="left"/>
      <w:pPr>
        <w:ind w:left="3676" w:hanging="360"/>
      </w:pPr>
      <w:rPr>
        <w:rFonts w:ascii="Courier New" w:hAnsi="Courier New" w:cs="Courier New" w:hint="default"/>
      </w:rPr>
    </w:lvl>
    <w:lvl w:ilvl="5" w:tplc="BD20202E">
      <w:start w:val="1"/>
      <w:numFmt w:val="bullet"/>
      <w:lvlText w:val=""/>
      <w:lvlJc w:val="left"/>
      <w:pPr>
        <w:ind w:left="4396" w:hanging="360"/>
      </w:pPr>
      <w:rPr>
        <w:rFonts w:ascii="Wingdings" w:hAnsi="Wingdings" w:hint="default"/>
      </w:rPr>
    </w:lvl>
    <w:lvl w:ilvl="6" w:tplc="EE62E8C8">
      <w:start w:val="1"/>
      <w:numFmt w:val="bullet"/>
      <w:lvlText w:val=""/>
      <w:lvlJc w:val="left"/>
      <w:pPr>
        <w:ind w:left="5116" w:hanging="360"/>
      </w:pPr>
      <w:rPr>
        <w:rFonts w:ascii="Symbol" w:hAnsi="Symbol" w:hint="default"/>
      </w:rPr>
    </w:lvl>
    <w:lvl w:ilvl="7" w:tplc="FE78DA68">
      <w:start w:val="1"/>
      <w:numFmt w:val="bullet"/>
      <w:lvlText w:val="o"/>
      <w:lvlJc w:val="left"/>
      <w:pPr>
        <w:ind w:left="5836" w:hanging="360"/>
      </w:pPr>
      <w:rPr>
        <w:rFonts w:ascii="Courier New" w:hAnsi="Courier New" w:cs="Courier New" w:hint="default"/>
      </w:rPr>
    </w:lvl>
    <w:lvl w:ilvl="8" w:tplc="67966AF2">
      <w:start w:val="1"/>
      <w:numFmt w:val="bullet"/>
      <w:lvlText w:val=""/>
      <w:lvlJc w:val="left"/>
      <w:pPr>
        <w:ind w:left="6556" w:hanging="360"/>
      </w:pPr>
      <w:rPr>
        <w:rFonts w:ascii="Wingdings" w:hAnsi="Wingdings" w:hint="default"/>
      </w:rPr>
    </w:lvl>
  </w:abstractNum>
  <w:abstractNum w:abstractNumId="9">
    <w:nsid w:val="5EB92DEA"/>
    <w:multiLevelType w:val="hybridMultilevel"/>
    <w:tmpl w:val="56E29F4E"/>
    <w:lvl w:ilvl="0" w:tplc="F606E6FE">
      <w:start w:val="1"/>
      <w:numFmt w:val="bullet"/>
      <w:lvlText w:val="-"/>
      <w:lvlJc w:val="left"/>
      <w:pPr>
        <w:ind w:left="3960" w:hanging="360"/>
      </w:pPr>
      <w:rPr>
        <w:rFonts w:ascii="Times New Roman" w:eastAsia="Times New Roman" w:hAnsi="Times New Roman" w:cs="Times New Roman" w:hint="default"/>
      </w:rPr>
    </w:lvl>
    <w:lvl w:ilvl="1" w:tplc="597E94B0">
      <w:start w:val="1"/>
      <w:numFmt w:val="bullet"/>
      <w:lvlText w:val="o"/>
      <w:lvlJc w:val="left"/>
      <w:pPr>
        <w:ind w:left="4680" w:hanging="360"/>
      </w:pPr>
      <w:rPr>
        <w:rFonts w:ascii="Courier New" w:hAnsi="Courier New" w:cs="Courier New" w:hint="default"/>
      </w:rPr>
    </w:lvl>
    <w:lvl w:ilvl="2" w:tplc="CBD4FDB2">
      <w:start w:val="1"/>
      <w:numFmt w:val="bullet"/>
      <w:lvlText w:val=""/>
      <w:lvlJc w:val="left"/>
      <w:pPr>
        <w:ind w:left="5400" w:hanging="360"/>
      </w:pPr>
      <w:rPr>
        <w:rFonts w:ascii="Wingdings" w:hAnsi="Wingdings" w:hint="default"/>
      </w:rPr>
    </w:lvl>
    <w:lvl w:ilvl="3" w:tplc="1FD49372">
      <w:start w:val="1"/>
      <w:numFmt w:val="bullet"/>
      <w:lvlText w:val=""/>
      <w:lvlJc w:val="left"/>
      <w:pPr>
        <w:ind w:left="6120" w:hanging="360"/>
      </w:pPr>
      <w:rPr>
        <w:rFonts w:ascii="Symbol" w:hAnsi="Symbol" w:hint="default"/>
      </w:rPr>
    </w:lvl>
    <w:lvl w:ilvl="4" w:tplc="F4621494">
      <w:start w:val="1"/>
      <w:numFmt w:val="bullet"/>
      <w:lvlText w:val="o"/>
      <w:lvlJc w:val="left"/>
      <w:pPr>
        <w:ind w:left="6840" w:hanging="360"/>
      </w:pPr>
      <w:rPr>
        <w:rFonts w:ascii="Courier New" w:hAnsi="Courier New" w:cs="Courier New" w:hint="default"/>
      </w:rPr>
    </w:lvl>
    <w:lvl w:ilvl="5" w:tplc="BAD40B38">
      <w:start w:val="1"/>
      <w:numFmt w:val="bullet"/>
      <w:lvlText w:val=""/>
      <w:lvlJc w:val="left"/>
      <w:pPr>
        <w:ind w:left="7560" w:hanging="360"/>
      </w:pPr>
      <w:rPr>
        <w:rFonts w:ascii="Wingdings" w:hAnsi="Wingdings" w:hint="default"/>
      </w:rPr>
    </w:lvl>
    <w:lvl w:ilvl="6" w:tplc="E8E07BB0">
      <w:start w:val="1"/>
      <w:numFmt w:val="bullet"/>
      <w:lvlText w:val=""/>
      <w:lvlJc w:val="left"/>
      <w:pPr>
        <w:ind w:left="8280" w:hanging="360"/>
      </w:pPr>
      <w:rPr>
        <w:rFonts w:ascii="Symbol" w:hAnsi="Symbol" w:hint="default"/>
      </w:rPr>
    </w:lvl>
    <w:lvl w:ilvl="7" w:tplc="908A6FFC">
      <w:start w:val="1"/>
      <w:numFmt w:val="bullet"/>
      <w:lvlText w:val="o"/>
      <w:lvlJc w:val="left"/>
      <w:pPr>
        <w:ind w:left="9000" w:hanging="360"/>
      </w:pPr>
      <w:rPr>
        <w:rFonts w:ascii="Courier New" w:hAnsi="Courier New" w:cs="Courier New" w:hint="default"/>
      </w:rPr>
    </w:lvl>
    <w:lvl w:ilvl="8" w:tplc="862E17F0">
      <w:start w:val="1"/>
      <w:numFmt w:val="bullet"/>
      <w:lvlText w:val=""/>
      <w:lvlJc w:val="left"/>
      <w:pPr>
        <w:ind w:left="9720" w:hanging="360"/>
      </w:pPr>
      <w:rPr>
        <w:rFonts w:ascii="Wingdings" w:hAnsi="Wingdings" w:hint="default"/>
      </w:rPr>
    </w:lvl>
  </w:abstractNum>
  <w:abstractNum w:abstractNumId="10">
    <w:nsid w:val="64E02BF3"/>
    <w:multiLevelType w:val="hybridMultilevel"/>
    <w:tmpl w:val="7212B3C8"/>
    <w:lvl w:ilvl="0" w:tplc="B65C6F8A">
      <w:start w:val="2"/>
      <w:numFmt w:val="bullet"/>
      <w:lvlText w:val="-"/>
      <w:lvlJc w:val="left"/>
      <w:pPr>
        <w:ind w:left="1069" w:hanging="360"/>
      </w:pPr>
      <w:rPr>
        <w:rFonts w:ascii="Times New Roman" w:eastAsia="Times New Roman" w:hAnsi="Times New Roman" w:cs="Times New Roman" w:hint="default"/>
      </w:rPr>
    </w:lvl>
    <w:lvl w:ilvl="1" w:tplc="69C8A84A">
      <w:start w:val="1"/>
      <w:numFmt w:val="bullet"/>
      <w:lvlText w:val="o"/>
      <w:lvlJc w:val="left"/>
      <w:pPr>
        <w:ind w:left="1789" w:hanging="360"/>
      </w:pPr>
      <w:rPr>
        <w:rFonts w:ascii="Courier New" w:hAnsi="Courier New" w:cs="Courier New" w:hint="default"/>
      </w:rPr>
    </w:lvl>
    <w:lvl w:ilvl="2" w:tplc="902C6222">
      <w:start w:val="1"/>
      <w:numFmt w:val="bullet"/>
      <w:lvlText w:val=""/>
      <w:lvlJc w:val="left"/>
      <w:pPr>
        <w:ind w:left="2509" w:hanging="360"/>
      </w:pPr>
      <w:rPr>
        <w:rFonts w:ascii="Wingdings" w:hAnsi="Wingdings" w:hint="default"/>
      </w:rPr>
    </w:lvl>
    <w:lvl w:ilvl="3" w:tplc="30B014E6">
      <w:start w:val="1"/>
      <w:numFmt w:val="bullet"/>
      <w:lvlText w:val=""/>
      <w:lvlJc w:val="left"/>
      <w:pPr>
        <w:ind w:left="3229" w:hanging="360"/>
      </w:pPr>
      <w:rPr>
        <w:rFonts w:ascii="Symbol" w:hAnsi="Symbol" w:hint="default"/>
      </w:rPr>
    </w:lvl>
    <w:lvl w:ilvl="4" w:tplc="162A982C">
      <w:start w:val="1"/>
      <w:numFmt w:val="bullet"/>
      <w:lvlText w:val="o"/>
      <w:lvlJc w:val="left"/>
      <w:pPr>
        <w:ind w:left="3949" w:hanging="360"/>
      </w:pPr>
      <w:rPr>
        <w:rFonts w:ascii="Courier New" w:hAnsi="Courier New" w:cs="Courier New" w:hint="default"/>
      </w:rPr>
    </w:lvl>
    <w:lvl w:ilvl="5" w:tplc="5126B7B8">
      <w:start w:val="1"/>
      <w:numFmt w:val="bullet"/>
      <w:lvlText w:val=""/>
      <w:lvlJc w:val="left"/>
      <w:pPr>
        <w:ind w:left="4669" w:hanging="360"/>
      </w:pPr>
      <w:rPr>
        <w:rFonts w:ascii="Wingdings" w:hAnsi="Wingdings" w:hint="default"/>
      </w:rPr>
    </w:lvl>
    <w:lvl w:ilvl="6" w:tplc="A5E83012">
      <w:start w:val="1"/>
      <w:numFmt w:val="bullet"/>
      <w:lvlText w:val=""/>
      <w:lvlJc w:val="left"/>
      <w:pPr>
        <w:ind w:left="5389" w:hanging="360"/>
      </w:pPr>
      <w:rPr>
        <w:rFonts w:ascii="Symbol" w:hAnsi="Symbol" w:hint="default"/>
      </w:rPr>
    </w:lvl>
    <w:lvl w:ilvl="7" w:tplc="96F6D55C">
      <w:start w:val="1"/>
      <w:numFmt w:val="bullet"/>
      <w:lvlText w:val="o"/>
      <w:lvlJc w:val="left"/>
      <w:pPr>
        <w:ind w:left="6109" w:hanging="360"/>
      </w:pPr>
      <w:rPr>
        <w:rFonts w:ascii="Courier New" w:hAnsi="Courier New" w:cs="Courier New" w:hint="default"/>
      </w:rPr>
    </w:lvl>
    <w:lvl w:ilvl="8" w:tplc="D908A7B0">
      <w:start w:val="1"/>
      <w:numFmt w:val="bullet"/>
      <w:lvlText w:val=""/>
      <w:lvlJc w:val="left"/>
      <w:pPr>
        <w:ind w:left="6829" w:hanging="360"/>
      </w:pPr>
      <w:rPr>
        <w:rFonts w:ascii="Wingdings" w:hAnsi="Wingdings" w:hint="default"/>
      </w:rPr>
    </w:lvl>
  </w:abstractNum>
  <w:abstractNum w:abstractNumId="11">
    <w:nsid w:val="65611265"/>
    <w:multiLevelType w:val="hybridMultilevel"/>
    <w:tmpl w:val="CC74270C"/>
    <w:lvl w:ilvl="0" w:tplc="793C81AA">
      <w:start w:val="1"/>
      <w:numFmt w:val="upperRoman"/>
      <w:lvlText w:val="%1."/>
      <w:lvlJc w:val="left"/>
      <w:pPr>
        <w:ind w:left="1287" w:hanging="720"/>
      </w:pPr>
      <w:rPr>
        <w:rFonts w:hint="default"/>
      </w:rPr>
    </w:lvl>
    <w:lvl w:ilvl="1" w:tplc="B800783C">
      <w:start w:val="1"/>
      <w:numFmt w:val="lowerLetter"/>
      <w:lvlText w:val="%2."/>
      <w:lvlJc w:val="left"/>
      <w:pPr>
        <w:ind w:left="1647" w:hanging="360"/>
      </w:pPr>
    </w:lvl>
    <w:lvl w:ilvl="2" w:tplc="379E1B5A">
      <w:start w:val="1"/>
      <w:numFmt w:val="lowerRoman"/>
      <w:lvlText w:val="%3."/>
      <w:lvlJc w:val="right"/>
      <w:pPr>
        <w:ind w:left="2367" w:hanging="180"/>
      </w:pPr>
    </w:lvl>
    <w:lvl w:ilvl="3" w:tplc="D5D6F152">
      <w:start w:val="1"/>
      <w:numFmt w:val="decimal"/>
      <w:lvlText w:val="%4."/>
      <w:lvlJc w:val="left"/>
      <w:pPr>
        <w:ind w:left="3087" w:hanging="360"/>
      </w:pPr>
    </w:lvl>
    <w:lvl w:ilvl="4" w:tplc="5F6C0AB4">
      <w:start w:val="1"/>
      <w:numFmt w:val="lowerLetter"/>
      <w:lvlText w:val="%5."/>
      <w:lvlJc w:val="left"/>
      <w:pPr>
        <w:ind w:left="3807" w:hanging="360"/>
      </w:pPr>
    </w:lvl>
    <w:lvl w:ilvl="5" w:tplc="05502DE0">
      <w:start w:val="1"/>
      <w:numFmt w:val="lowerRoman"/>
      <w:lvlText w:val="%6."/>
      <w:lvlJc w:val="right"/>
      <w:pPr>
        <w:ind w:left="4527" w:hanging="180"/>
      </w:pPr>
    </w:lvl>
    <w:lvl w:ilvl="6" w:tplc="4890487E">
      <w:start w:val="1"/>
      <w:numFmt w:val="decimal"/>
      <w:lvlText w:val="%7."/>
      <w:lvlJc w:val="left"/>
      <w:pPr>
        <w:ind w:left="5247" w:hanging="360"/>
      </w:pPr>
    </w:lvl>
    <w:lvl w:ilvl="7" w:tplc="7DF6CEEA">
      <w:start w:val="1"/>
      <w:numFmt w:val="lowerLetter"/>
      <w:lvlText w:val="%8."/>
      <w:lvlJc w:val="left"/>
      <w:pPr>
        <w:ind w:left="5967" w:hanging="360"/>
      </w:pPr>
    </w:lvl>
    <w:lvl w:ilvl="8" w:tplc="7ECCBD22">
      <w:start w:val="1"/>
      <w:numFmt w:val="lowerRoman"/>
      <w:lvlText w:val="%9."/>
      <w:lvlJc w:val="right"/>
      <w:pPr>
        <w:ind w:left="6687" w:hanging="180"/>
      </w:pPr>
    </w:lvl>
  </w:abstractNum>
  <w:abstractNum w:abstractNumId="12">
    <w:nsid w:val="6B5D0A0D"/>
    <w:multiLevelType w:val="hybridMultilevel"/>
    <w:tmpl w:val="74263B30"/>
    <w:lvl w:ilvl="0" w:tplc="F15A98DC">
      <w:start w:val="1"/>
      <w:numFmt w:val="upperRoman"/>
      <w:lvlText w:val="%1."/>
      <w:lvlJc w:val="left"/>
      <w:pPr>
        <w:ind w:left="1429" w:hanging="720"/>
      </w:pPr>
      <w:rPr>
        <w:rFonts w:hint="default"/>
      </w:rPr>
    </w:lvl>
    <w:lvl w:ilvl="1" w:tplc="B23AEB80">
      <w:start w:val="1"/>
      <w:numFmt w:val="lowerLetter"/>
      <w:lvlText w:val="%2."/>
      <w:lvlJc w:val="left"/>
      <w:pPr>
        <w:ind w:left="1789" w:hanging="360"/>
      </w:pPr>
    </w:lvl>
    <w:lvl w:ilvl="2" w:tplc="47BEB810">
      <w:start w:val="1"/>
      <w:numFmt w:val="lowerRoman"/>
      <w:lvlText w:val="%3."/>
      <w:lvlJc w:val="right"/>
      <w:pPr>
        <w:ind w:left="2509" w:hanging="180"/>
      </w:pPr>
    </w:lvl>
    <w:lvl w:ilvl="3" w:tplc="BF7A2C00">
      <w:start w:val="1"/>
      <w:numFmt w:val="decimal"/>
      <w:lvlText w:val="%4."/>
      <w:lvlJc w:val="left"/>
      <w:pPr>
        <w:ind w:left="3229" w:hanging="360"/>
      </w:pPr>
    </w:lvl>
    <w:lvl w:ilvl="4" w:tplc="573049AC">
      <w:start w:val="1"/>
      <w:numFmt w:val="lowerLetter"/>
      <w:lvlText w:val="%5."/>
      <w:lvlJc w:val="left"/>
      <w:pPr>
        <w:ind w:left="3949" w:hanging="360"/>
      </w:pPr>
    </w:lvl>
    <w:lvl w:ilvl="5" w:tplc="C1DCA958">
      <w:start w:val="1"/>
      <w:numFmt w:val="lowerRoman"/>
      <w:lvlText w:val="%6."/>
      <w:lvlJc w:val="right"/>
      <w:pPr>
        <w:ind w:left="4669" w:hanging="180"/>
      </w:pPr>
    </w:lvl>
    <w:lvl w:ilvl="6" w:tplc="46023652">
      <w:start w:val="1"/>
      <w:numFmt w:val="decimal"/>
      <w:lvlText w:val="%7."/>
      <w:lvlJc w:val="left"/>
      <w:pPr>
        <w:ind w:left="5389" w:hanging="360"/>
      </w:pPr>
    </w:lvl>
    <w:lvl w:ilvl="7" w:tplc="3D846DDE">
      <w:start w:val="1"/>
      <w:numFmt w:val="lowerLetter"/>
      <w:lvlText w:val="%8."/>
      <w:lvlJc w:val="left"/>
      <w:pPr>
        <w:ind w:left="6109" w:hanging="360"/>
      </w:pPr>
    </w:lvl>
    <w:lvl w:ilvl="8" w:tplc="3F284E78">
      <w:start w:val="1"/>
      <w:numFmt w:val="lowerRoman"/>
      <w:lvlText w:val="%9."/>
      <w:lvlJc w:val="right"/>
      <w:pPr>
        <w:ind w:left="6829" w:hanging="180"/>
      </w:pPr>
    </w:lvl>
  </w:abstractNum>
  <w:abstractNum w:abstractNumId="13">
    <w:nsid w:val="6B7E2060"/>
    <w:multiLevelType w:val="hybridMultilevel"/>
    <w:tmpl w:val="611001E6"/>
    <w:lvl w:ilvl="0" w:tplc="32F2CB24">
      <w:start w:val="1"/>
      <w:numFmt w:val="lowerLetter"/>
      <w:lvlText w:val="%1)"/>
      <w:lvlJc w:val="left"/>
      <w:pPr>
        <w:ind w:left="927" w:hanging="360"/>
      </w:pPr>
      <w:rPr>
        <w:rFonts w:hint="default"/>
      </w:rPr>
    </w:lvl>
    <w:lvl w:ilvl="1" w:tplc="BBFAD926">
      <w:start w:val="1"/>
      <w:numFmt w:val="lowerLetter"/>
      <w:lvlText w:val="%2."/>
      <w:lvlJc w:val="left"/>
      <w:pPr>
        <w:ind w:left="1647" w:hanging="360"/>
      </w:pPr>
    </w:lvl>
    <w:lvl w:ilvl="2" w:tplc="4622D196">
      <w:start w:val="1"/>
      <w:numFmt w:val="lowerRoman"/>
      <w:lvlText w:val="%3."/>
      <w:lvlJc w:val="right"/>
      <w:pPr>
        <w:ind w:left="2367" w:hanging="180"/>
      </w:pPr>
    </w:lvl>
    <w:lvl w:ilvl="3" w:tplc="12F8F616">
      <w:start w:val="1"/>
      <w:numFmt w:val="decimal"/>
      <w:lvlText w:val="%4."/>
      <w:lvlJc w:val="left"/>
      <w:pPr>
        <w:ind w:left="3087" w:hanging="360"/>
      </w:pPr>
    </w:lvl>
    <w:lvl w:ilvl="4" w:tplc="5C1E4FA4">
      <w:start w:val="1"/>
      <w:numFmt w:val="lowerLetter"/>
      <w:lvlText w:val="%5."/>
      <w:lvlJc w:val="left"/>
      <w:pPr>
        <w:ind w:left="3807" w:hanging="360"/>
      </w:pPr>
    </w:lvl>
    <w:lvl w:ilvl="5" w:tplc="B734F70E">
      <w:start w:val="1"/>
      <w:numFmt w:val="lowerRoman"/>
      <w:lvlText w:val="%6."/>
      <w:lvlJc w:val="right"/>
      <w:pPr>
        <w:ind w:left="4527" w:hanging="180"/>
      </w:pPr>
    </w:lvl>
    <w:lvl w:ilvl="6" w:tplc="803633B8">
      <w:start w:val="1"/>
      <w:numFmt w:val="decimal"/>
      <w:lvlText w:val="%7."/>
      <w:lvlJc w:val="left"/>
      <w:pPr>
        <w:ind w:left="5247" w:hanging="360"/>
      </w:pPr>
    </w:lvl>
    <w:lvl w:ilvl="7" w:tplc="7C985714">
      <w:start w:val="1"/>
      <w:numFmt w:val="lowerLetter"/>
      <w:lvlText w:val="%8."/>
      <w:lvlJc w:val="left"/>
      <w:pPr>
        <w:ind w:left="5967" w:hanging="360"/>
      </w:pPr>
    </w:lvl>
    <w:lvl w:ilvl="8" w:tplc="F0FE0046">
      <w:start w:val="1"/>
      <w:numFmt w:val="lowerRoman"/>
      <w:lvlText w:val="%9."/>
      <w:lvlJc w:val="right"/>
      <w:pPr>
        <w:ind w:left="6687" w:hanging="180"/>
      </w:pPr>
    </w:lvl>
  </w:abstractNum>
  <w:num w:numId="1">
    <w:abstractNumId w:val="3"/>
  </w:num>
  <w:num w:numId="2">
    <w:abstractNumId w:val="10"/>
  </w:num>
  <w:num w:numId="3">
    <w:abstractNumId w:val="9"/>
  </w:num>
  <w:num w:numId="4">
    <w:abstractNumId w:val="6"/>
  </w:num>
  <w:num w:numId="5">
    <w:abstractNumId w:val="5"/>
  </w:num>
  <w:num w:numId="6">
    <w:abstractNumId w:val="8"/>
  </w:num>
  <w:num w:numId="7">
    <w:abstractNumId w:val="1"/>
  </w:num>
  <w:num w:numId="8">
    <w:abstractNumId w:val="7"/>
  </w:num>
  <w:num w:numId="9">
    <w:abstractNumId w:val="13"/>
  </w:num>
  <w:num w:numId="10">
    <w:abstractNumId w:val="11"/>
  </w:num>
  <w:num w:numId="11">
    <w:abstractNumId w:val="2"/>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5E"/>
    <w:rsid w:val="002D1BE4"/>
    <w:rsid w:val="00302A5E"/>
    <w:rsid w:val="00A96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szCs w:val="16"/>
    </w:rPr>
  </w:style>
  <w:style w:type="character" w:customStyle="1" w:styleId="tenvb-h1">
    <w:name w:val="tenvb-h1"/>
    <w:uiPriority w:val="99"/>
    <w:rPr>
      <w:rFonts w:ascii="Times New Roman" w:hAnsi="Times New Roman"/>
      <w:b/>
      <w:color w:val="0000FF"/>
      <w:sz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odyTextIndent2">
    <w:name w:val="Body Text Indent 2"/>
    <w:basedOn w:val="Normal"/>
    <w:link w:val="BodyTextIndent2Char"/>
    <w:pPr>
      <w:ind w:firstLine="560"/>
      <w:jc w:val="both"/>
    </w:pPr>
    <w:rPr>
      <w:rFonts w:ascii=".VnTime" w:hAnsi=".VnTime"/>
      <w:color w:val="0000FF"/>
      <w:sz w:val="28"/>
      <w:szCs w:val="20"/>
    </w:rPr>
  </w:style>
  <w:style w:type="character" w:customStyle="1" w:styleId="BodyTextIndent2Char">
    <w:name w:val="Body Text Indent 2 Char"/>
    <w:link w:val="BodyTextIndent2"/>
    <w:rPr>
      <w:rFonts w:ascii=".VnTime" w:hAnsi=".VnTime"/>
      <w:color w:val="0000FF"/>
      <w:sz w:val="28"/>
    </w:rPr>
  </w:style>
  <w:style w:type="character" w:customStyle="1" w:styleId="Bodytext">
    <w:name w:val="Body text_"/>
    <w:link w:val="Bodytext1"/>
    <w:rPr>
      <w:shd w:val="clear" w:color="auto" w:fill="FFFFFF"/>
    </w:rPr>
  </w:style>
  <w:style w:type="paragraph" w:customStyle="1" w:styleId="Bodytext1">
    <w:name w:val="Body text1"/>
    <w:basedOn w:val="Normal"/>
    <w:link w:val="Bodytext"/>
    <w:pPr>
      <w:widowControl w:val="0"/>
      <w:shd w:val="clear" w:color="auto" w:fill="FFFFFF"/>
      <w:spacing w:after="60" w:line="288" w:lineRule="exact"/>
      <w:ind w:hanging="540"/>
    </w:pPr>
    <w:rPr>
      <w:sz w:val="20"/>
      <w:szCs w:val="20"/>
      <w:shd w:val="clear" w:color="auto" w:fill="FFFFFF"/>
    </w:rPr>
  </w:style>
  <w:style w:type="character" w:customStyle="1" w:styleId="normal-h1">
    <w:name w:val="normal-h1"/>
    <w:rPr>
      <w:rFonts w:ascii=".VnTime" w:hAnsi=".VnTime" w:hint="default"/>
      <w:color w:val="0000FF"/>
      <w:sz w:val="24"/>
      <w:szCs w:val="24"/>
    </w:rPr>
  </w:style>
  <w:style w:type="paragraph" w:customStyle="1" w:styleId="1Char">
    <w:name w:val="1 Char"/>
    <w:basedOn w:val="Normal"/>
    <w:next w:val="Normal"/>
    <w:semiHidden/>
    <w:pPr>
      <w:spacing w:after="160" w:line="240" w:lineRule="exact"/>
      <w:jc w:val="both"/>
    </w:pPr>
    <w:rPr>
      <w:rFonts w:eastAsia="SimSun"/>
      <w:b/>
      <w:sz w:val="30"/>
      <w:szCs w:val="22"/>
    </w:rPr>
  </w:style>
  <w:style w:type="character" w:styleId="PageNumber">
    <w:name w:val="page number"/>
  </w:style>
  <w:style w:type="paragraph" w:styleId="BodyTextIndent">
    <w:name w:val="Body Text Indent"/>
    <w:basedOn w:val="Normal"/>
    <w:link w:val="BodyTextIndentChar"/>
    <w:pPr>
      <w:spacing w:after="120"/>
      <w:ind w:left="360"/>
    </w:pPr>
    <w:rPr>
      <w:sz w:val="28"/>
      <w:szCs w:val="28"/>
    </w:rPr>
  </w:style>
  <w:style w:type="character" w:customStyle="1" w:styleId="BodyTextIndentChar">
    <w:name w:val="Body Text Indent Char"/>
    <w:link w:val="BodyTextIndent"/>
    <w:rPr>
      <w:sz w:val="28"/>
      <w:szCs w:val="28"/>
    </w:rPr>
  </w:style>
  <w:style w:type="paragraph" w:customStyle="1" w:styleId="BodyText10">
    <w:name w:val="Body Text1"/>
    <w:basedOn w:val="Normal"/>
    <w:pPr>
      <w:widowControl w:val="0"/>
      <w:shd w:val="clear" w:color="auto" w:fill="FFFFFF"/>
      <w:spacing w:before="420" w:after="120" w:line="322" w:lineRule="exact"/>
      <w:jc w:val="both"/>
    </w:pPr>
    <w:rPr>
      <w:rFonts w:eastAsia="Arial"/>
      <w:sz w:val="25"/>
      <w:szCs w:val="25"/>
      <w:shd w:val="clear" w:color="auto" w:fill="FFFFFF"/>
    </w:rPr>
  </w:style>
  <w:style w:type="character" w:customStyle="1" w:styleId="Bodytext4">
    <w:name w:val="Body text (4)_"/>
    <w:link w:val="Bodytext41"/>
    <w:rPr>
      <w:b/>
      <w:bCs/>
      <w:shd w:val="clear" w:color="auto" w:fill="FFFFFF"/>
    </w:rPr>
  </w:style>
  <w:style w:type="paragraph" w:customStyle="1" w:styleId="Bodytext41">
    <w:name w:val="Body text (4)1"/>
    <w:basedOn w:val="Normal"/>
    <w:link w:val="Bodytext4"/>
    <w:pPr>
      <w:widowControl w:val="0"/>
      <w:shd w:val="clear" w:color="auto" w:fill="FFFFFF"/>
      <w:spacing w:before="540" w:line="307" w:lineRule="exact"/>
      <w:jc w:val="center"/>
    </w:pPr>
    <w:rPr>
      <w:b/>
      <w:bCs/>
      <w:sz w:val="20"/>
      <w:szCs w:val="20"/>
      <w:shd w:val="clear" w:color="auto" w:fill="FFFFFF"/>
    </w:rPr>
  </w:style>
  <w:style w:type="character" w:styleId="Emphasis">
    <w:name w:val="Emphasis"/>
    <w:qFormat/>
    <w:rPr>
      <w:i/>
      <w:iCs/>
    </w:rPr>
  </w:style>
  <w:style w:type="paragraph" w:styleId="BodyText0">
    <w:name w:val="Body Text"/>
    <w:basedOn w:val="Normal"/>
    <w:link w:val="BodyTextChar"/>
    <w:pPr>
      <w:spacing w:after="120"/>
    </w:pPr>
    <w:rPr>
      <w:sz w:val="28"/>
      <w:szCs w:val="28"/>
    </w:rPr>
  </w:style>
  <w:style w:type="character" w:customStyle="1" w:styleId="BodyTextChar">
    <w:name w:val="Body Text Char"/>
    <w:link w:val="BodyText0"/>
    <w:rPr>
      <w:sz w:val="28"/>
      <w:szCs w:val="28"/>
    </w:rPr>
  </w:style>
  <w:style w:type="character" w:customStyle="1" w:styleId="BalloonTextChar">
    <w:name w:val="Balloon Text Char"/>
    <w:link w:val="BalloonText"/>
    <w:rPr>
      <w:rFonts w:ascii="Tahoma" w:hAnsi="Tahoma" w:cs="Tahoma"/>
      <w:sz w:val="16"/>
      <w:szCs w:val="16"/>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Pr>
      <w:rFonts w:ascii="Tahoma" w:hAnsi="Tahoma" w:cs="Tahoma"/>
      <w:sz w:val="16"/>
      <w:szCs w:val="16"/>
    </w:rPr>
  </w:style>
  <w:style w:type="character" w:customStyle="1" w:styleId="tenvb-h1">
    <w:name w:val="tenvb-h1"/>
    <w:uiPriority w:val="99"/>
    <w:rPr>
      <w:rFonts w:ascii="Times New Roman" w:hAnsi="Times New Roman"/>
      <w:b/>
      <w:color w:val="0000FF"/>
      <w:sz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odyTextIndent2">
    <w:name w:val="Body Text Indent 2"/>
    <w:basedOn w:val="Normal"/>
    <w:link w:val="BodyTextIndent2Char"/>
    <w:pPr>
      <w:ind w:firstLine="560"/>
      <w:jc w:val="both"/>
    </w:pPr>
    <w:rPr>
      <w:rFonts w:ascii=".VnTime" w:hAnsi=".VnTime"/>
      <w:color w:val="0000FF"/>
      <w:sz w:val="28"/>
      <w:szCs w:val="20"/>
    </w:rPr>
  </w:style>
  <w:style w:type="character" w:customStyle="1" w:styleId="BodyTextIndent2Char">
    <w:name w:val="Body Text Indent 2 Char"/>
    <w:link w:val="BodyTextIndent2"/>
    <w:rPr>
      <w:rFonts w:ascii=".VnTime" w:hAnsi=".VnTime"/>
      <w:color w:val="0000FF"/>
      <w:sz w:val="28"/>
    </w:rPr>
  </w:style>
  <w:style w:type="character" w:customStyle="1" w:styleId="Bodytext">
    <w:name w:val="Body text_"/>
    <w:link w:val="Bodytext1"/>
    <w:rPr>
      <w:shd w:val="clear" w:color="auto" w:fill="FFFFFF"/>
    </w:rPr>
  </w:style>
  <w:style w:type="paragraph" w:customStyle="1" w:styleId="Bodytext1">
    <w:name w:val="Body text1"/>
    <w:basedOn w:val="Normal"/>
    <w:link w:val="Bodytext"/>
    <w:pPr>
      <w:widowControl w:val="0"/>
      <w:shd w:val="clear" w:color="auto" w:fill="FFFFFF"/>
      <w:spacing w:after="60" w:line="288" w:lineRule="exact"/>
      <w:ind w:hanging="540"/>
    </w:pPr>
    <w:rPr>
      <w:sz w:val="20"/>
      <w:szCs w:val="20"/>
      <w:shd w:val="clear" w:color="auto" w:fill="FFFFFF"/>
    </w:rPr>
  </w:style>
  <w:style w:type="character" w:customStyle="1" w:styleId="normal-h1">
    <w:name w:val="normal-h1"/>
    <w:rPr>
      <w:rFonts w:ascii=".VnTime" w:hAnsi=".VnTime" w:hint="default"/>
      <w:color w:val="0000FF"/>
      <w:sz w:val="24"/>
      <w:szCs w:val="24"/>
    </w:rPr>
  </w:style>
  <w:style w:type="paragraph" w:customStyle="1" w:styleId="1Char">
    <w:name w:val="1 Char"/>
    <w:basedOn w:val="Normal"/>
    <w:next w:val="Normal"/>
    <w:semiHidden/>
    <w:pPr>
      <w:spacing w:after="160" w:line="240" w:lineRule="exact"/>
      <w:jc w:val="both"/>
    </w:pPr>
    <w:rPr>
      <w:rFonts w:eastAsia="SimSun"/>
      <w:b/>
      <w:sz w:val="30"/>
      <w:szCs w:val="22"/>
    </w:rPr>
  </w:style>
  <w:style w:type="character" w:styleId="PageNumber">
    <w:name w:val="page number"/>
  </w:style>
  <w:style w:type="paragraph" w:styleId="BodyTextIndent">
    <w:name w:val="Body Text Indent"/>
    <w:basedOn w:val="Normal"/>
    <w:link w:val="BodyTextIndentChar"/>
    <w:pPr>
      <w:spacing w:after="120"/>
      <w:ind w:left="360"/>
    </w:pPr>
    <w:rPr>
      <w:sz w:val="28"/>
      <w:szCs w:val="28"/>
    </w:rPr>
  </w:style>
  <w:style w:type="character" w:customStyle="1" w:styleId="BodyTextIndentChar">
    <w:name w:val="Body Text Indent Char"/>
    <w:link w:val="BodyTextIndent"/>
    <w:rPr>
      <w:sz w:val="28"/>
      <w:szCs w:val="28"/>
    </w:rPr>
  </w:style>
  <w:style w:type="paragraph" w:customStyle="1" w:styleId="BodyText10">
    <w:name w:val="Body Text1"/>
    <w:basedOn w:val="Normal"/>
    <w:pPr>
      <w:widowControl w:val="0"/>
      <w:shd w:val="clear" w:color="auto" w:fill="FFFFFF"/>
      <w:spacing w:before="420" w:after="120" w:line="322" w:lineRule="exact"/>
      <w:jc w:val="both"/>
    </w:pPr>
    <w:rPr>
      <w:rFonts w:eastAsia="Arial"/>
      <w:sz w:val="25"/>
      <w:szCs w:val="25"/>
      <w:shd w:val="clear" w:color="auto" w:fill="FFFFFF"/>
    </w:rPr>
  </w:style>
  <w:style w:type="character" w:customStyle="1" w:styleId="Bodytext4">
    <w:name w:val="Body text (4)_"/>
    <w:link w:val="Bodytext41"/>
    <w:rPr>
      <w:b/>
      <w:bCs/>
      <w:shd w:val="clear" w:color="auto" w:fill="FFFFFF"/>
    </w:rPr>
  </w:style>
  <w:style w:type="paragraph" w:customStyle="1" w:styleId="Bodytext41">
    <w:name w:val="Body text (4)1"/>
    <w:basedOn w:val="Normal"/>
    <w:link w:val="Bodytext4"/>
    <w:pPr>
      <w:widowControl w:val="0"/>
      <w:shd w:val="clear" w:color="auto" w:fill="FFFFFF"/>
      <w:spacing w:before="540" w:line="307" w:lineRule="exact"/>
      <w:jc w:val="center"/>
    </w:pPr>
    <w:rPr>
      <w:b/>
      <w:bCs/>
      <w:sz w:val="20"/>
      <w:szCs w:val="20"/>
      <w:shd w:val="clear" w:color="auto" w:fill="FFFFFF"/>
    </w:rPr>
  </w:style>
  <w:style w:type="character" w:styleId="Emphasis">
    <w:name w:val="Emphasis"/>
    <w:qFormat/>
    <w:rPr>
      <w:i/>
      <w:iCs/>
    </w:rPr>
  </w:style>
  <w:style w:type="paragraph" w:styleId="BodyText0">
    <w:name w:val="Body Text"/>
    <w:basedOn w:val="Normal"/>
    <w:link w:val="BodyTextChar"/>
    <w:pPr>
      <w:spacing w:after="120"/>
    </w:pPr>
    <w:rPr>
      <w:sz w:val="28"/>
      <w:szCs w:val="28"/>
    </w:rPr>
  </w:style>
  <w:style w:type="character" w:customStyle="1" w:styleId="BodyTextChar">
    <w:name w:val="Body Text Char"/>
    <w:link w:val="BodyText0"/>
    <w:rPr>
      <w:sz w:val="28"/>
      <w:szCs w:val="28"/>
    </w:rPr>
  </w:style>
  <w:style w:type="character" w:customStyle="1" w:styleId="BalloonTextChar">
    <w:name w:val="Balloon Text Char"/>
    <w:link w:val="BalloonText"/>
    <w:rPr>
      <w:rFonts w:ascii="Tahoma" w:hAnsi="Tahoma" w:cs="Tahoma"/>
      <w:sz w:val="16"/>
      <w:szCs w:val="16"/>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42550-3DCC-4732-9FE6-E97937FB8BE1}"/>
</file>

<file path=customXml/itemProps2.xml><?xml version="1.0" encoding="utf-8"?>
<ds:datastoreItem xmlns:ds="http://schemas.openxmlformats.org/officeDocument/2006/customXml" ds:itemID="{BE08F958-68E7-4BA5-BACD-923399989125}"/>
</file>

<file path=customXml/itemProps3.xml><?xml version="1.0" encoding="utf-8"?>
<ds:datastoreItem xmlns:ds="http://schemas.openxmlformats.org/officeDocument/2006/customXml" ds:itemID="{6096280B-2344-494A-BE57-785F84C63271}"/>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Company>HOME</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User</dc:creator>
  <cp:lastModifiedBy>User</cp:lastModifiedBy>
  <cp:revision>2</cp:revision>
  <dcterms:created xsi:type="dcterms:W3CDTF">2019-12-12T03:43:00Z</dcterms:created>
  <dcterms:modified xsi:type="dcterms:W3CDTF">2019-12-12T03:43:00Z</dcterms:modified>
</cp:coreProperties>
</file>