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1"/>
        <w:gridCol w:w="6431"/>
      </w:tblGrid>
      <w:tr w:rsidR="00CC3C21">
        <w:tc>
          <w:tcPr>
            <w:tcW w:w="3051" w:type="dxa"/>
          </w:tcPr>
          <w:p w:rsidR="00CC3C21" w:rsidRDefault="0061149C">
            <w:pPr>
              <w:ind w:right="-117"/>
              <w:jc w:val="center"/>
              <w:rPr>
                <w:b/>
                <w:color w:val="000000"/>
                <w:sz w:val="26"/>
                <w:szCs w:val="20"/>
              </w:rPr>
            </w:pPr>
            <w:bookmarkStart w:id="0" w:name="_GoBack"/>
            <w:bookmarkEnd w:id="0"/>
            <w:r>
              <w:rPr>
                <w:b/>
                <w:color w:val="000000" w:themeColor="text1"/>
                <w:sz w:val="26"/>
                <w:szCs w:val="20"/>
              </w:rPr>
              <w:t>ỦY BAN NHÂN DÂN</w:t>
            </w:r>
          </w:p>
          <w:p w:rsidR="00CC3C21" w:rsidRDefault="0061149C">
            <w:pPr>
              <w:ind w:right="-117"/>
              <w:jc w:val="center"/>
              <w:rPr>
                <w:b/>
                <w:color w:val="000000"/>
                <w:sz w:val="26"/>
                <w:szCs w:val="20"/>
              </w:rPr>
            </w:pPr>
            <w:r>
              <w:rPr>
                <w:b/>
                <w:color w:val="000000" w:themeColor="text1"/>
                <w:sz w:val="26"/>
                <w:szCs w:val="20"/>
              </w:rPr>
              <w:t>TỈNH LONG AN</w:t>
            </w:r>
          </w:p>
          <w:p w:rsidR="00CC3C21" w:rsidRDefault="0061149C">
            <w:pPr>
              <w:ind w:right="-117"/>
              <w:jc w:val="center"/>
              <w:rPr>
                <w:color w:val="000000"/>
                <w:sz w:val="26"/>
                <w:szCs w:val="20"/>
                <w:vertAlign w:val="superscript"/>
                <w:lang w:val="vi-VN"/>
              </w:rPr>
            </w:pPr>
            <w:r>
              <w:rPr>
                <w:color w:val="000000" w:themeColor="text1"/>
                <w:sz w:val="26"/>
                <w:szCs w:val="20"/>
                <w:vertAlign w:val="superscript"/>
              </w:rPr>
              <w:t>________</w:t>
            </w:r>
            <w:r>
              <w:rPr>
                <w:color w:val="000000" w:themeColor="text1"/>
                <w:sz w:val="26"/>
                <w:szCs w:val="20"/>
                <w:vertAlign w:val="superscript"/>
                <w:lang w:val="vi-VN"/>
              </w:rPr>
              <w:t>___</w:t>
            </w:r>
          </w:p>
          <w:p w:rsidR="00CC3C21" w:rsidRDefault="0061149C">
            <w:pPr>
              <w:ind w:right="-117"/>
              <w:jc w:val="center"/>
              <w:rPr>
                <w:b/>
                <w:color w:val="000000"/>
                <w:sz w:val="26"/>
                <w:szCs w:val="20"/>
              </w:rPr>
            </w:pPr>
            <w:r>
              <w:rPr>
                <w:color w:val="000000" w:themeColor="text1"/>
                <w:sz w:val="26"/>
                <w:szCs w:val="20"/>
              </w:rPr>
              <w:t>Số:  19</w:t>
            </w:r>
            <w:r>
              <w:rPr>
                <w:color w:val="000000" w:themeColor="text1"/>
                <w:sz w:val="26"/>
                <w:szCs w:val="20"/>
                <w:lang w:val="vi-VN"/>
              </w:rPr>
              <w:t xml:space="preserve"> /2020</w:t>
            </w:r>
            <w:r>
              <w:rPr>
                <w:color w:val="000000" w:themeColor="text1"/>
                <w:sz w:val="26"/>
                <w:szCs w:val="20"/>
              </w:rPr>
              <w:t>/QĐ-UBND</w:t>
            </w:r>
          </w:p>
        </w:tc>
        <w:tc>
          <w:tcPr>
            <w:tcW w:w="6431" w:type="dxa"/>
          </w:tcPr>
          <w:p w:rsidR="00CC3C21" w:rsidRDefault="0061149C">
            <w:pPr>
              <w:ind w:right="-117"/>
              <w:jc w:val="center"/>
              <w:rPr>
                <w:b/>
                <w:color w:val="000000"/>
                <w:sz w:val="26"/>
                <w:szCs w:val="20"/>
              </w:rPr>
            </w:pPr>
            <w:r>
              <w:rPr>
                <w:b/>
                <w:color w:val="000000" w:themeColor="text1"/>
                <w:sz w:val="26"/>
                <w:szCs w:val="20"/>
              </w:rPr>
              <w:t>CỘNG HÒA XÃ HỘI CHỦ NGHĨA VIỆT NAM</w:t>
            </w:r>
          </w:p>
          <w:p w:rsidR="00CC3C21" w:rsidRDefault="0061149C">
            <w:pPr>
              <w:ind w:right="-117"/>
              <w:jc w:val="center"/>
              <w:rPr>
                <w:b/>
                <w:color w:val="000000"/>
              </w:rPr>
            </w:pPr>
            <w:r>
              <w:rPr>
                <w:b/>
                <w:color w:val="000000" w:themeColor="text1"/>
              </w:rPr>
              <w:t>Độc lập  -  Tự  do  -   Hạnh phúc</w:t>
            </w:r>
          </w:p>
          <w:p w:rsidR="00CC3C21" w:rsidRDefault="0061149C">
            <w:pPr>
              <w:ind w:right="-117"/>
              <w:jc w:val="center"/>
              <w:rPr>
                <w:color w:val="000000"/>
                <w:sz w:val="26"/>
                <w:szCs w:val="20"/>
                <w:vertAlign w:val="superscript"/>
                <w:lang w:val="vi-VN"/>
              </w:rPr>
            </w:pPr>
            <w:r>
              <w:rPr>
                <w:color w:val="000000" w:themeColor="text1"/>
                <w:sz w:val="26"/>
                <w:szCs w:val="20"/>
                <w:vertAlign w:val="superscript"/>
              </w:rPr>
              <w:t>____________________________________________</w:t>
            </w:r>
          </w:p>
          <w:p w:rsidR="00CC3C21" w:rsidRDefault="0061149C">
            <w:pPr>
              <w:ind w:right="-117"/>
              <w:jc w:val="center"/>
              <w:rPr>
                <w:b/>
                <w:color w:val="000000"/>
                <w:sz w:val="26"/>
                <w:szCs w:val="20"/>
              </w:rPr>
            </w:pPr>
            <w:r>
              <w:rPr>
                <w:i/>
                <w:color w:val="000000" w:themeColor="text1"/>
              </w:rPr>
              <w:t>Long  An, ngày  12 tháng</w:t>
            </w:r>
            <w:r>
              <w:rPr>
                <w:i/>
                <w:color w:val="000000" w:themeColor="text1"/>
                <w:lang w:val="vi-VN"/>
              </w:rPr>
              <w:t xml:space="preserve"> </w:t>
            </w:r>
            <w:r>
              <w:rPr>
                <w:i/>
                <w:color w:val="000000" w:themeColor="text1"/>
              </w:rPr>
              <w:t>5 năm 2020</w:t>
            </w:r>
          </w:p>
        </w:tc>
      </w:tr>
    </w:tbl>
    <w:p w:rsidR="00CC3C21" w:rsidRDefault="00CC3C21">
      <w:pPr>
        <w:rPr>
          <w:color w:val="000000"/>
        </w:rPr>
      </w:pPr>
    </w:p>
    <w:p w:rsidR="00CC3C21" w:rsidRDefault="0061149C">
      <w:pPr>
        <w:spacing w:before="120"/>
        <w:jc w:val="center"/>
        <w:rPr>
          <w:b/>
          <w:color w:val="000000"/>
        </w:rPr>
      </w:pPr>
      <w:r>
        <w:rPr>
          <w:b/>
          <w:color w:val="000000" w:themeColor="text1"/>
        </w:rPr>
        <w:t>QUYẾT ĐỊNH</w:t>
      </w:r>
    </w:p>
    <w:p w:rsidR="00CC3C21" w:rsidRDefault="0061149C">
      <w:pPr>
        <w:jc w:val="center"/>
        <w:rPr>
          <w:b/>
          <w:bCs/>
          <w:color w:val="000000"/>
        </w:rPr>
      </w:pPr>
      <w:r>
        <w:rPr>
          <w:b/>
          <w:bCs/>
          <w:color w:val="000000"/>
        </w:rPr>
        <w:t>Triển khai thực hiện Nghị quyết số 04/2020/NQ-HĐND ngày 13/4/2020</w:t>
      </w:r>
      <w:r>
        <w:rPr>
          <w:b/>
          <w:bCs/>
          <w:i/>
          <w:iCs/>
          <w:color w:val="000000"/>
        </w:rPr>
        <w:t> </w:t>
      </w:r>
      <w:r>
        <w:rPr>
          <w:b/>
          <w:bCs/>
          <w:color w:val="000000"/>
        </w:rPr>
        <w:t>của</w:t>
      </w:r>
      <w:r>
        <w:rPr>
          <w:b/>
          <w:bCs/>
          <w:i/>
          <w:iCs/>
          <w:color w:val="000000"/>
        </w:rPr>
        <w:t> </w:t>
      </w:r>
      <w:r>
        <w:rPr>
          <w:b/>
          <w:bCs/>
          <w:color w:val="000000"/>
        </w:rPr>
        <w:t>HĐND tỉnh</w:t>
      </w:r>
      <w:r>
        <w:rPr>
          <w:b/>
          <w:bCs/>
          <w:i/>
          <w:iCs/>
          <w:color w:val="000000"/>
        </w:rPr>
        <w:t> </w:t>
      </w:r>
      <w:r>
        <w:rPr>
          <w:b/>
          <w:bCs/>
          <w:color w:val="000000"/>
        </w:rPr>
        <w:t xml:space="preserve">quy định mức chi đối với giải thi đấu thể thao </w:t>
      </w:r>
    </w:p>
    <w:p w:rsidR="00CC3C21" w:rsidRDefault="0061149C">
      <w:pPr>
        <w:jc w:val="center"/>
        <w:rPr>
          <w:b/>
          <w:bCs/>
          <w:color w:val="000000"/>
        </w:rPr>
      </w:pPr>
      <w:r>
        <w:rPr>
          <w:b/>
          <w:bCs/>
          <w:color w:val="000000"/>
        </w:rPr>
        <w:t>do các cơ quan, đơn vị thuộc tỉnh Long An tổ chức hàng năm</w:t>
      </w:r>
    </w:p>
    <w:p w:rsidR="00CC3C21" w:rsidRDefault="0061149C">
      <w:pPr>
        <w:jc w:val="center"/>
        <w:rPr>
          <w:b/>
          <w:vertAlign w:val="superscript"/>
        </w:rPr>
      </w:pPr>
      <w:r>
        <w:rPr>
          <w:b/>
          <w:vertAlign w:val="superscript"/>
        </w:rPr>
        <w:t>__________________</w:t>
      </w:r>
    </w:p>
    <w:p w:rsidR="00CC3C21" w:rsidRDefault="0061149C">
      <w:pPr>
        <w:pStyle w:val="Footer"/>
        <w:tabs>
          <w:tab w:val="clear" w:pos="4320"/>
          <w:tab w:val="clear" w:pos="8640"/>
        </w:tabs>
        <w:spacing w:before="240" w:after="120"/>
        <w:ind w:firstLine="567"/>
        <w:jc w:val="center"/>
        <w:rPr>
          <w:b/>
          <w:color w:val="000000"/>
          <w:sz w:val="28"/>
        </w:rPr>
      </w:pPr>
      <w:r>
        <w:rPr>
          <w:b/>
          <w:color w:val="000000" w:themeColor="text1"/>
          <w:sz w:val="28"/>
        </w:rPr>
        <w:t>ỦY BAN NHÂN DÂN TỈNH LONG AN</w:t>
      </w:r>
    </w:p>
    <w:p w:rsidR="00CC3C21" w:rsidRDefault="00CC3C21">
      <w:pPr>
        <w:pStyle w:val="Footer"/>
        <w:tabs>
          <w:tab w:val="clear" w:pos="4320"/>
          <w:tab w:val="clear" w:pos="8640"/>
        </w:tabs>
        <w:ind w:firstLine="567"/>
        <w:jc w:val="both"/>
        <w:rPr>
          <w:color w:val="000000"/>
          <w:sz w:val="8"/>
          <w:szCs w:val="8"/>
        </w:rPr>
      </w:pPr>
    </w:p>
    <w:p w:rsidR="00CC3C21" w:rsidRDefault="0061149C">
      <w:pPr>
        <w:spacing w:after="120"/>
        <w:ind w:firstLine="567"/>
        <w:jc w:val="both"/>
        <w:rPr>
          <w:i/>
          <w:color w:val="000000"/>
        </w:rPr>
      </w:pPr>
      <w:r>
        <w:rPr>
          <w:i/>
          <w:color w:val="000000" w:themeColor="text1"/>
        </w:rPr>
        <w:t>Căn cứ Luật Tổ chức chính quyền địa phương ngày 19/6/2015;</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i/>
          <w:iCs/>
          <w:color w:val="000000"/>
        </w:rPr>
        <w:t>Căn cứ Luật ngân sách nhà nước ngày 25/6/2015;</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i/>
          <w:iCs/>
          <w:color w:val="000000"/>
        </w:rPr>
        <w:t>Căn cứ Luật Thể dục, thể thao ngày 29/11/2006; Luật sửa đổi, bổ sung một số điều của Luật Thể dục, thể thao ngày 14/6/2018;</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i/>
          <w:iCs/>
          <w:color w:val="000000"/>
        </w:rPr>
        <w:t xml:space="preserve">Căn cứ Thông tư liên tịch </w:t>
      </w:r>
      <w:r>
        <w:rPr>
          <w:i/>
          <w:iCs/>
          <w:color w:val="000000"/>
        </w:rPr>
        <w:t xml:space="preserve">số 200/2011/TTLT-BTC-BVHTTDL ngày 30/12/2011 của liên Bộ Tài chính, Bộ Văn hóa, Thể thao và Du lịch quy định chế độ chi tiêu tài chính đối với các giải thi đấu thể thao;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i/>
          <w:iCs/>
          <w:color w:val="000000"/>
        </w:rPr>
        <w:t>Căn cứ Nghị quyết số 04/2020/NQ-HĐND ngày 13/4/2020 của Hội đồng nhân dân tỉnh về việ</w:t>
      </w:r>
      <w:r>
        <w:rPr>
          <w:i/>
          <w:iCs/>
          <w:color w:val="000000"/>
        </w:rPr>
        <w:t>c Quy định mức chi đối với giải thi đấu thể thao do các cơ quan, đơn vị thuộc tỉnh Long An tổ chức hàng năm;</w:t>
      </w:r>
    </w:p>
    <w:p w:rsidR="00CC3C21" w:rsidRDefault="0061149C">
      <w:pPr>
        <w:pStyle w:val="NormalWeb"/>
        <w:spacing w:before="120" w:beforeAutospacing="0" w:after="120" w:afterAutospacing="0"/>
        <w:ind w:firstLine="720"/>
        <w:jc w:val="both"/>
        <w:rPr>
          <w:i/>
          <w:sz w:val="28"/>
          <w:szCs w:val="28"/>
        </w:rPr>
      </w:pPr>
      <w:r>
        <w:rPr>
          <w:i/>
          <w:color w:val="000000" w:themeColor="text1"/>
          <w:sz w:val="28"/>
          <w:szCs w:val="28"/>
        </w:rPr>
        <w:t>Theo đề nghị của Giám đốc Sở Văn hóa, Thể thao và Du lịch tại Tờ trình số 957/TTr-SVHTTDL ngày 07/5/2020;</w:t>
      </w:r>
      <w:r>
        <w:rPr>
          <w:i/>
          <w:iCs/>
          <w:sz w:val="28"/>
          <w:szCs w:val="28"/>
          <w:lang w:val="en-GB"/>
        </w:rPr>
        <w:t xml:space="preserve"> ý kiến thẩm định của Sở Tư pháp tại văn b</w:t>
      </w:r>
      <w:r>
        <w:rPr>
          <w:i/>
          <w:iCs/>
          <w:sz w:val="28"/>
          <w:szCs w:val="28"/>
          <w:lang w:val="en-GB"/>
        </w:rPr>
        <w:t>ản số 1163/STP-XDKTVB ngày 27/4/2020,</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3420"/>
        <w:jc w:val="both"/>
        <w:rPr>
          <w:sz w:val="24"/>
          <w:szCs w:val="24"/>
        </w:rPr>
      </w:pPr>
      <w:r>
        <w:rPr>
          <w:b/>
          <w:bCs/>
          <w:color w:val="000000"/>
        </w:rPr>
        <w:t>QUYẾT ĐỊNH:</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 xml:space="preserve">Điều 1. </w:t>
      </w:r>
      <w:r>
        <w:rPr>
          <w:color w:val="000000"/>
        </w:rPr>
        <w:t xml:space="preserve">Triển khai thực hiện Nghị quyết số 04/2020/NQ-HĐND ngày 13/4/2020 của HĐND tỉnh quy định mức chi đối với giải thi đấu thể thao do các cơ quan, đơn vị thuộc tỉnh Long An tổ chức hàng năm, cụ thể như </w:t>
      </w:r>
      <w:r>
        <w:rPr>
          <w:color w:val="000000"/>
        </w:rPr>
        <w:t>sau: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1.</w:t>
      </w:r>
      <w:r>
        <w:rPr>
          <w:color w:val="000000"/>
        </w:rPr>
        <w:t> </w:t>
      </w:r>
      <w:r>
        <w:rPr>
          <w:b/>
          <w:bCs/>
          <w:color w:val="000000"/>
        </w:rPr>
        <w:t>Phạm vi điều chỉnh</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xml:space="preserve">Quyết định này quy định mức chi đối với giải thi đấu thể thao do các cơ quan, đơn vị thuộc tỉnh Long An tổ chức hàng năm và các giải thi đấu thể thao cấp quốc gia, cấp khu vực do tỉnh Long An đăng cai tổ chức.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xml:space="preserve">Không áp dụng cho </w:t>
      </w:r>
      <w:r>
        <w:rPr>
          <w:color w:val="000000"/>
        </w:rPr>
        <w:t>các giải thi đấu bóng đá trong nước và quốc tế tổ chức tại tỉnh Long An.</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2. Đối tượng áp dụng</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a) Thành viên Ban Chỉ đạo, Ban Tổ chức và các Tiểu ban Đại hội Thể dục thể thao, hội thi thể thao.</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b) Thành viên Ban Tổ chức và các Tiểu ban chuyên môn từng giải đấu.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lastRenderedPageBreak/>
        <w:t>c) Trọng tài, giám sát điều hành, thư ký các giải đấu.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d) Vận động viên, huấn luyện viên.</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xml:space="preserve">đ) Công an, y tế, phiên dịch, bảo vệ, nhân viên phục vụ và các lực lượng khác liên quan hoặc phục </w:t>
      </w:r>
      <w:r>
        <w:rPr>
          <w:color w:val="000000"/>
        </w:rPr>
        <w:t>vụ tại các điểm tổ chức thi đấu.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 xml:space="preserve">3. Mức chi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pacing w:val="-6"/>
          <w:sz w:val="24"/>
          <w:szCs w:val="24"/>
        </w:rPr>
      </w:pPr>
      <w:r>
        <w:rPr>
          <w:color w:val="000000"/>
          <w:spacing w:val="-6"/>
        </w:rPr>
        <w:t xml:space="preserve">a) Tiền ăn trong quá trình tổ chức giải cho các đối tượng được quy định tại điểm a, b, c, khoản 2, Điều 1 Quyết định này (bao gồm cả thời gian tối đa 02 ngày trước làm công tác chuẩn bị tập huấn trọng tài và 01 </w:t>
      </w:r>
      <w:r>
        <w:rPr>
          <w:color w:val="000000"/>
          <w:spacing w:val="-6"/>
        </w:rPr>
        <w:t xml:space="preserve">ngày sau thi đấu) như sau: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Đối với các giải thi đấu thể thao cấp quốc gia, cấp khu vực do tỉnh Long An đăng cai tổ chức: Thực hiện theo quy định tại khoản 1, Điều 4 Thông tư số 200/2011/TTLB-BTC-BVHTTDL.</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Đối với các giải thi đấu cấp tỉnh: 130.000 đồng/người/ngày.</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Đối với các giải thi đấu các huyện, thị xã, thành phố: 90.000 đồng/người/ngày.</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pacing w:val="-6"/>
          <w:sz w:val="24"/>
          <w:szCs w:val="24"/>
        </w:rPr>
      </w:pPr>
      <w:r>
        <w:rPr>
          <w:color w:val="000000"/>
          <w:spacing w:val="-6"/>
        </w:rPr>
        <w:t>- Đối với các giải thi đấu các xã, phường, thị trấn: 60.000 đồng/người/ngày.</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spacing w:val="-6"/>
        </w:rPr>
        <w:t>Đối với các đối tượng thuộc diện hưở</w:t>
      </w:r>
      <w:r>
        <w:rPr>
          <w:color w:val="000000"/>
          <w:spacing w:val="-6"/>
        </w:rPr>
        <w:t>ng lương từ ngân sách nhà nước đã được đảm bảo chế độ chi tiền ăn trong thời gian tham dự các giải thi đấu thể thao sẽ không được hưởng thanh toán phụ cấp tiền lưu trú công tác phí theo quy định tại chế độ công tác phí hiện hành trong thời gian tham dự giả</w:t>
      </w:r>
      <w:r>
        <w:rPr>
          <w:color w:val="000000"/>
          <w:spacing w:val="-6"/>
        </w:rPr>
        <w:t>i thi đấu thể thao.</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xml:space="preserve">b) Tiền ăn của vận động viên, huấn luyện viên trong quá trình tham dự các giải thi đấu thể thao cấp tỉnh, thực hiện theo quy định hiện hành.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c) Mức chi tiền bồi dưỡng làm nhiệm vụ được tính theo ngày làm việc thực tế hoặc theo buổi thi</w:t>
      </w:r>
      <w:r>
        <w:rPr>
          <w:color w:val="000000"/>
        </w:rPr>
        <w:t xml:space="preserve"> đấu, trận đấu thực tế. Đối với các đối tượng mà tiền bồi dưỡng không tính được theo ngày làm việc mà tính theo buổi thi đấu hoặc trận đấu, thì mức thanh toán tiền bồi dưỡng được tính theo thực tế, nhưng tối đa không được vượt quá 03 buổi hoặc 03 trận đấu/</w:t>
      </w:r>
      <w:r>
        <w:rPr>
          <w:color w:val="000000"/>
        </w:rPr>
        <w:t xml:space="preserve">người/ngày.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Đối với các giải thi đấu thể thao cấp quốc gia, cấp khu vực do tỉnh Long An đăng cai tổ chức: Thực hiện theo quy định tại khoản 1, Điều 4 Thông tư số 200/2011/TTLT-BTC-BVHTTDL.</w:t>
      </w:r>
    </w:p>
    <w:p w:rsidR="00CC3C21" w:rsidRDefault="0061149C">
      <w:pPr>
        <w:pBdr>
          <w:top w:val="none" w:sz="0" w:space="0" w:color="auto"/>
          <w:left w:val="none" w:sz="0" w:space="0" w:color="auto"/>
          <w:bottom w:val="none" w:sz="0" w:space="0" w:color="auto"/>
          <w:right w:val="none" w:sz="0" w:space="0" w:color="auto"/>
          <w:between w:val="none" w:sz="0" w:space="0" w:color="auto"/>
        </w:pBdr>
        <w:spacing w:before="120" w:after="120"/>
        <w:ind w:firstLine="539"/>
        <w:jc w:val="both"/>
        <w:rPr>
          <w:sz w:val="24"/>
          <w:szCs w:val="24"/>
        </w:rPr>
      </w:pPr>
      <w:r>
        <w:rPr>
          <w:color w:val="000000"/>
        </w:rPr>
        <w:t>- Đối với các giải thi đấu thể thao các cấp:</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068"/>
        <w:gridCol w:w="2154"/>
        <w:gridCol w:w="2154"/>
        <w:gridCol w:w="2225"/>
      </w:tblGrid>
      <w:tr w:rsidR="00CC3C21">
        <w:trPr>
          <w:tblCellSpacing w:w="0" w:type="dxa"/>
        </w:trPr>
        <w:tc>
          <w:tcPr>
            <w:tcW w:w="8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TT</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Đối tượng</w:t>
            </w:r>
          </w:p>
        </w:tc>
        <w:tc>
          <w:tcPr>
            <w:tcW w:w="65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Mức chi cho các cấp</w:t>
            </w:r>
          </w:p>
        </w:tc>
      </w:tr>
      <w:tr w:rsidR="00CC3C21">
        <w:trPr>
          <w:trHeight w:val="657"/>
          <w:tblCellSpacing w:w="0" w:type="dxa"/>
        </w:trPr>
        <w:tc>
          <w:tcPr>
            <w:tcW w:w="816" w:type="dxa"/>
            <w:vMerge/>
            <w:tcBorders>
              <w:top w:val="single" w:sz="4" w:space="0" w:color="000000"/>
              <w:left w:val="single" w:sz="4" w:space="0" w:color="000000"/>
              <w:bottom w:val="single" w:sz="4" w:space="0" w:color="000000"/>
              <w:right w:val="single" w:sz="4" w:space="0" w:color="000000"/>
            </w:tcBorders>
            <w:vAlign w:val="center"/>
          </w:tcPr>
          <w:p w:rsidR="00CC3C21" w:rsidRDefault="00CC3C21">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068" w:type="dxa"/>
            <w:vMerge/>
            <w:tcBorders>
              <w:top w:val="single" w:sz="4" w:space="0" w:color="000000"/>
              <w:left w:val="single" w:sz="4" w:space="0" w:color="000000"/>
              <w:bottom w:val="single" w:sz="4" w:space="0" w:color="000000"/>
              <w:right w:val="single" w:sz="4" w:space="0" w:color="000000"/>
            </w:tcBorders>
            <w:vAlign w:val="center"/>
          </w:tcPr>
          <w:p w:rsidR="00CC3C21" w:rsidRDefault="00CC3C21">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Cấp tỉnh</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Cấp huyện</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b/>
                <w:bCs/>
                <w:color w:val="000000"/>
              </w:rPr>
              <w:t>Cấp xã</w:t>
            </w:r>
          </w:p>
        </w:tc>
      </w:tr>
      <w:tr w:rsidR="00CC3C21">
        <w:trPr>
          <w:tblCellSpacing w:w="0" w:type="dxa"/>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01</w:t>
            </w:r>
          </w:p>
        </w:tc>
        <w:tc>
          <w:tcPr>
            <w:tcW w:w="2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both"/>
              <w:rPr>
                <w:sz w:val="24"/>
                <w:szCs w:val="24"/>
              </w:rPr>
            </w:pPr>
            <w:r>
              <w:rPr>
                <w:color w:val="000000"/>
              </w:rPr>
              <w:t>Ban Chỉ đạo, Ban Tổ chức; Trưởng, phó các Tiểu ban chuyên môn</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90.000 đồng/người/ngày</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65.000 đồng/người/ngày</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50.000 đồng/người/ngày</w:t>
            </w:r>
          </w:p>
        </w:tc>
      </w:tr>
      <w:tr w:rsidR="00CC3C21">
        <w:trPr>
          <w:tblCellSpacing w:w="0" w:type="dxa"/>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lastRenderedPageBreak/>
              <w:t>02</w:t>
            </w:r>
          </w:p>
        </w:tc>
        <w:tc>
          <w:tcPr>
            <w:tcW w:w="2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both"/>
              <w:rPr>
                <w:sz w:val="24"/>
                <w:szCs w:val="24"/>
              </w:rPr>
            </w:pPr>
            <w:r>
              <w:rPr>
                <w:color w:val="000000"/>
              </w:rPr>
              <w:t>Thành viên các Tiểu ban chuyên môn</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65.000 đồng/người/ngày</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45.000 đồng/người/ngày</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30.000 đồng/người/ngày</w:t>
            </w:r>
          </w:p>
        </w:tc>
      </w:tr>
      <w:tr w:rsidR="00CC3C21">
        <w:trPr>
          <w:tblCellSpacing w:w="0" w:type="dxa"/>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03</w:t>
            </w:r>
          </w:p>
        </w:tc>
        <w:tc>
          <w:tcPr>
            <w:tcW w:w="2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both"/>
              <w:rPr>
                <w:sz w:val="24"/>
                <w:szCs w:val="24"/>
              </w:rPr>
            </w:pPr>
            <w:r>
              <w:rPr>
                <w:color w:val="000000"/>
              </w:rPr>
              <w:t>Giám sát, trọng tài chính</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65.000 đồng/người/buổi</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45.000 đồng/người/buổi</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30.000 đồng/người/buổi</w:t>
            </w:r>
          </w:p>
        </w:tc>
      </w:tr>
      <w:tr w:rsidR="00CC3C21">
        <w:trPr>
          <w:tblCellSpacing w:w="0" w:type="dxa"/>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04</w:t>
            </w:r>
          </w:p>
        </w:tc>
        <w:tc>
          <w:tcPr>
            <w:tcW w:w="2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both"/>
              <w:rPr>
                <w:sz w:val="24"/>
                <w:szCs w:val="24"/>
              </w:rPr>
            </w:pPr>
            <w:r>
              <w:rPr>
                <w:color w:val="000000"/>
              </w:rPr>
              <w:t>Thư ký, trọng tài khác</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55.000 đồng/người/buổi</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40.000 đồng/người/buổi</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30.000 đồng/người/buổi</w:t>
            </w:r>
          </w:p>
        </w:tc>
      </w:tr>
      <w:tr w:rsidR="00CC3C21">
        <w:trPr>
          <w:tblCellSpacing w:w="0" w:type="dxa"/>
        </w:trPr>
        <w:tc>
          <w:tcPr>
            <w:tcW w:w="8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05</w:t>
            </w:r>
          </w:p>
        </w:tc>
        <w:tc>
          <w:tcPr>
            <w:tcW w:w="20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both"/>
              <w:rPr>
                <w:sz w:val="24"/>
                <w:szCs w:val="24"/>
              </w:rPr>
            </w:pPr>
            <w:r>
              <w:rPr>
                <w:color w:val="000000"/>
              </w:rPr>
              <w:t>Công an, y tế, lực lượng làm nhiệm vụ trật tự, bảo vệ, nhân viên phục vụ</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50.000 đồng/người/buổi</w:t>
            </w:r>
          </w:p>
        </w:tc>
        <w:tc>
          <w:tcPr>
            <w:tcW w:w="2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40.000 đồng/người/buổi</w:t>
            </w:r>
          </w:p>
        </w:tc>
        <w:tc>
          <w:tcPr>
            <w:tcW w:w="2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21" w:rsidRDefault="0061149C">
            <w:pPr>
              <w:pBdr>
                <w:top w:val="none" w:sz="0" w:space="0" w:color="auto"/>
                <w:left w:val="none" w:sz="0" w:space="0" w:color="auto"/>
                <w:bottom w:val="none" w:sz="0" w:space="0" w:color="auto"/>
                <w:right w:val="none" w:sz="0" w:space="0" w:color="auto"/>
                <w:between w:val="none" w:sz="0" w:space="0" w:color="auto"/>
              </w:pBdr>
              <w:spacing w:after="120"/>
              <w:jc w:val="center"/>
              <w:rPr>
                <w:sz w:val="24"/>
                <w:szCs w:val="24"/>
              </w:rPr>
            </w:pPr>
            <w:r>
              <w:rPr>
                <w:color w:val="000000"/>
              </w:rPr>
              <w:t>30.000 đồng/người/buổi</w:t>
            </w:r>
          </w:p>
        </w:tc>
      </w:tr>
    </w:tbl>
    <w:p w:rsidR="00CC3C21" w:rsidRDefault="0061149C">
      <w:pPr>
        <w:pBdr>
          <w:top w:val="none" w:sz="0" w:space="0" w:color="auto"/>
          <w:left w:val="none" w:sz="0" w:space="0" w:color="auto"/>
          <w:bottom w:val="none" w:sz="0" w:space="0" w:color="auto"/>
          <w:right w:val="none" w:sz="0" w:space="0" w:color="auto"/>
          <w:between w:val="none" w:sz="0" w:space="0" w:color="auto"/>
        </w:pBdr>
        <w:spacing w:before="240" w:after="120"/>
        <w:ind w:firstLine="539"/>
        <w:jc w:val="both"/>
        <w:rPr>
          <w:sz w:val="24"/>
          <w:szCs w:val="24"/>
        </w:rPr>
      </w:pPr>
      <w:r>
        <w:rPr>
          <w:color w:val="000000"/>
        </w:rPr>
        <w:t>d) Mức chi tổ chức đồng diễn, diễu hành đối với Đại hội Thể dục thể thao cấp tỉnh như sau: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Bồi dưỡng đối tượng tham gia đồng diễn, diễu hành, xếp hình, xếp chữ:</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xml:space="preserve">+ Người tập: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Tập luyện: 35.000 đồng/người/buổi.</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xml:space="preserve">Tổng duyệt (tối đa 02 buổi): 45.000 đồng/người/buổi.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Chính thức: 80.000 đồng/người/buổi.</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39"/>
        <w:jc w:val="both"/>
        <w:rPr>
          <w:sz w:val="24"/>
          <w:szCs w:val="24"/>
        </w:rPr>
      </w:pPr>
      <w:r>
        <w:rPr>
          <w:color w:val="000000"/>
        </w:rPr>
        <w:t>+ Giáo viên quản lý, hướng dẫn: 65.000 đồng/người/buổi.</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4. Các khoản chi khác</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xml:space="preserve">a) Tiền tàu xe đi về, tiền thuê chỗ ở cho các đối tượng quy định tại khoản 2, Điều 1 Quyết định này thực hiện theo Quyết định số 72/2017/QĐ-UBND ngày 29/12/2017 của UBND tỉnh về </w:t>
      </w:r>
      <w:r>
        <w:rPr>
          <w:color w:val="000000"/>
        </w:rPr>
        <w:t xml:space="preserve">việc quy định chế độ công tác phí, chế độ chi hội nghị của các cơ quan nhà nước, đơn vị sự nghiệp công lập, tổ chức chính trị, tổ chức chính trị - xã hội, các tổ chức hội sử dụng kinh phí do ngân sách nhà nước hỗ trợ trên địa bàn tỉnh Long An.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b) Tiền thư</w:t>
      </w:r>
      <w:r>
        <w:rPr>
          <w:color w:val="000000"/>
        </w:rPr>
        <w:t xml:space="preserve">ởng vận động viên, huấn luyện viên, các khoản chi khác thực hiện theo quy định hiện hành.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 xml:space="preserve">c) Trường hợp một người được phân công nhiều nhiệm vụ khác nhau trong quá trình điều hành tổ chức giải chỉ được hưởng một mức bồi dưỡng cao nhất. </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b/>
          <w:bCs/>
          <w:color w:val="000000"/>
        </w:rPr>
        <w:t>5.</w:t>
      </w:r>
      <w:r>
        <w:rPr>
          <w:color w:val="000000"/>
        </w:rPr>
        <w:t> </w:t>
      </w:r>
      <w:r>
        <w:rPr>
          <w:b/>
          <w:bCs/>
          <w:color w:val="000000"/>
        </w:rPr>
        <w:t>Nguồn kinh phí</w:t>
      </w:r>
      <w:r>
        <w:rPr>
          <w:b/>
          <w:bCs/>
          <w:color w:val="000000"/>
        </w:rPr>
        <w:t xml:space="preserve"> thực hiện</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a) Nguồn thu bán vé xem thi đấu.</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b) Nguồn thu tài trợ, quảng cáo, bán bản quyền phát thanh truyền hình.</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c) Nguồn ngân sách nhà nước theo phân cấp ngân sách.</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d) Nguồn thu hợp pháp khác.</w:t>
      </w:r>
    </w:p>
    <w:p w:rsidR="00CC3C21" w:rsidRDefault="0061149C">
      <w:pPr>
        <w:pStyle w:val="Footer"/>
        <w:tabs>
          <w:tab w:val="clear" w:pos="4320"/>
          <w:tab w:val="clear" w:pos="8640"/>
          <w:tab w:val="left" w:pos="4560"/>
        </w:tabs>
        <w:spacing w:after="120"/>
        <w:ind w:firstLine="567"/>
        <w:jc w:val="both"/>
        <w:rPr>
          <w:color w:val="000000"/>
          <w:sz w:val="28"/>
        </w:rPr>
      </w:pPr>
      <w:r>
        <w:rPr>
          <w:b/>
          <w:color w:val="000000" w:themeColor="text1"/>
          <w:sz w:val="28"/>
        </w:rPr>
        <w:t>Điều 2.</w:t>
      </w:r>
      <w:r>
        <w:rPr>
          <w:color w:val="000000" w:themeColor="text1"/>
          <w:sz w:val="28"/>
        </w:rPr>
        <w:t xml:space="preserve"> Giao Sở Văn hóa, Thể thao và Du lịch chủ trì, phối h</w:t>
      </w:r>
      <w:r>
        <w:rPr>
          <w:color w:val="000000" w:themeColor="text1"/>
          <w:sz w:val="28"/>
        </w:rPr>
        <w:t>ợp với các cơ quan có liên quan hướng dẫn việc tổ chức thực hiện theo quy định.</w:t>
      </w:r>
    </w:p>
    <w:p w:rsidR="00CC3C21" w:rsidRDefault="0061149C">
      <w:pPr>
        <w:pBdr>
          <w:top w:val="none" w:sz="0" w:space="0" w:color="auto"/>
          <w:left w:val="none" w:sz="0" w:space="0" w:color="auto"/>
          <w:bottom w:val="none" w:sz="0" w:space="0" w:color="auto"/>
          <w:right w:val="none" w:sz="0" w:space="0" w:color="auto"/>
          <w:between w:val="none" w:sz="0" w:space="0" w:color="auto"/>
        </w:pBdr>
        <w:spacing w:after="120"/>
        <w:ind w:firstLine="567"/>
        <w:jc w:val="both"/>
        <w:rPr>
          <w:sz w:val="24"/>
          <w:szCs w:val="24"/>
        </w:rPr>
      </w:pPr>
      <w:r>
        <w:rPr>
          <w:color w:val="000000"/>
        </w:rPr>
        <w:t>Quyết định này có hiệu lực thi hành kể từ ngày 25</w:t>
      </w:r>
      <w:r>
        <w:rPr>
          <w:color w:val="000000"/>
        </w:rPr>
        <w:t>/5/2020 và bãi bỏ Quyết định số 1197/QĐ-UBND ngày 13/4/2012 của UBND tỉnh về việc ban hành chế độ chi tiêu tài chính cho các giải thi đấu thể thao, chế độ dinh dưỡng đối với vận động viên, huấn luyện viên thể thao của tỉnh.</w:t>
      </w:r>
    </w:p>
    <w:p w:rsidR="00CC3C21" w:rsidRDefault="0061149C">
      <w:pPr>
        <w:spacing w:after="120"/>
        <w:ind w:firstLine="567"/>
        <w:jc w:val="both"/>
        <w:rPr>
          <w:color w:val="000000"/>
        </w:rPr>
      </w:pPr>
      <w:r>
        <w:rPr>
          <w:b/>
          <w:color w:val="000000" w:themeColor="text1"/>
        </w:rPr>
        <w:t>Điều 3.</w:t>
      </w:r>
      <w:r>
        <w:rPr>
          <w:color w:val="000000" w:themeColor="text1"/>
        </w:rPr>
        <w:t xml:space="preserve"> Chánh Văn phòng Đoàn ĐBQ</w:t>
      </w:r>
      <w:r>
        <w:rPr>
          <w:color w:val="000000" w:themeColor="text1"/>
        </w:rPr>
        <w:t>H, HĐND và UBND tỉnh; Thủ trưởng sở, ngành tỉnh; Chủ tịch UBND huyện, thị xã, thành phố và các tổ chức, cá nhân có liên quan thi hành Quyết định này./.</w:t>
      </w:r>
    </w:p>
    <w:p w:rsidR="00CC3C21" w:rsidRDefault="00CC3C21">
      <w:pPr>
        <w:spacing w:after="120"/>
        <w:ind w:firstLine="567"/>
        <w:jc w:val="both"/>
        <w:rPr>
          <w:color w:val="000000"/>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0"/>
        <w:gridCol w:w="4531"/>
      </w:tblGrid>
      <w:tr w:rsidR="00CC3C21">
        <w:trPr>
          <w:trHeight w:val="2711"/>
        </w:trPr>
        <w:tc>
          <w:tcPr>
            <w:tcW w:w="4540" w:type="dxa"/>
          </w:tcPr>
          <w:p w:rsidR="00CC3C21" w:rsidRDefault="0061149C">
            <w:pPr>
              <w:jc w:val="both"/>
              <w:rPr>
                <w:b/>
                <w:i/>
                <w:iCs/>
                <w:color w:val="000000"/>
                <w:szCs w:val="20"/>
                <w:lang w:val="nl-NL"/>
              </w:rPr>
            </w:pPr>
            <w:r>
              <w:rPr>
                <w:b/>
                <w:i/>
                <w:iCs/>
                <w:color w:val="000000" w:themeColor="text1"/>
                <w:szCs w:val="20"/>
                <w:lang w:val="nl-NL"/>
              </w:rPr>
              <w:t>Nơi nhận:</w:t>
            </w:r>
          </w:p>
          <w:p w:rsidR="00CC3C21" w:rsidRDefault="0061149C">
            <w:pPr>
              <w:jc w:val="both"/>
              <w:rPr>
                <w:rFonts w:eastAsia="Calibri"/>
                <w:color w:val="000000"/>
                <w:sz w:val="22"/>
                <w:szCs w:val="22"/>
                <w:lang w:val="vi-VN"/>
              </w:rPr>
            </w:pPr>
            <w:r>
              <w:rPr>
                <w:rFonts w:eastAsia="Calibri"/>
                <w:color w:val="000000" w:themeColor="text1"/>
                <w:sz w:val="22"/>
                <w:szCs w:val="22"/>
                <w:lang w:val="nl-NL"/>
              </w:rPr>
              <w:t>- Như Đi</w:t>
            </w:r>
            <w:r>
              <w:rPr>
                <w:rFonts w:eastAsia="Calibri"/>
                <w:color w:val="000000" w:themeColor="text1"/>
                <w:sz w:val="22"/>
                <w:szCs w:val="22"/>
                <w:lang w:val="nl-NL"/>
              </w:rPr>
              <w:t>ề</w:t>
            </w:r>
            <w:r>
              <w:rPr>
                <w:rFonts w:eastAsia="Calibri"/>
                <w:color w:val="000000" w:themeColor="text1"/>
                <w:sz w:val="22"/>
                <w:szCs w:val="22"/>
                <w:lang w:val="nl-NL"/>
              </w:rPr>
              <w:t>u 3;</w:t>
            </w:r>
          </w:p>
          <w:p w:rsidR="00CC3C21" w:rsidRDefault="0061149C">
            <w:pPr>
              <w:rPr>
                <w:color w:val="000000"/>
                <w:sz w:val="22"/>
                <w:szCs w:val="22"/>
              </w:rPr>
            </w:pPr>
            <w:r>
              <w:rPr>
                <w:color w:val="000000" w:themeColor="text1"/>
                <w:sz w:val="22"/>
                <w:szCs w:val="22"/>
              </w:rPr>
              <w:t>- Vụ Pháp chế-Bộ VH,TT&amp;DL;</w:t>
            </w:r>
          </w:p>
          <w:p w:rsidR="00CC3C21" w:rsidRDefault="0061149C">
            <w:pPr>
              <w:rPr>
                <w:color w:val="000000"/>
                <w:sz w:val="22"/>
                <w:szCs w:val="22"/>
              </w:rPr>
            </w:pPr>
            <w:r>
              <w:rPr>
                <w:color w:val="000000" w:themeColor="text1"/>
                <w:sz w:val="22"/>
                <w:szCs w:val="22"/>
              </w:rPr>
              <w:t>- Cục Kiểm tra VBPPL-Bộ Tư pháp;</w:t>
            </w:r>
          </w:p>
          <w:p w:rsidR="00CC3C21" w:rsidRDefault="0061149C">
            <w:pPr>
              <w:rPr>
                <w:color w:val="000000"/>
                <w:sz w:val="22"/>
                <w:szCs w:val="22"/>
              </w:rPr>
            </w:pPr>
            <w:r>
              <w:rPr>
                <w:color w:val="000000" w:themeColor="text1"/>
                <w:sz w:val="22"/>
                <w:szCs w:val="22"/>
              </w:rPr>
              <w:t xml:space="preserve">- TT. TU; TT. HĐND tỉnh; </w:t>
            </w:r>
          </w:p>
          <w:p w:rsidR="00CC3C21" w:rsidRDefault="0061149C">
            <w:pPr>
              <w:rPr>
                <w:color w:val="000000"/>
                <w:sz w:val="22"/>
                <w:szCs w:val="22"/>
              </w:rPr>
            </w:pPr>
            <w:r>
              <w:rPr>
                <w:color w:val="000000" w:themeColor="text1"/>
                <w:sz w:val="22"/>
                <w:szCs w:val="22"/>
              </w:rPr>
              <w:t xml:space="preserve">- CT, </w:t>
            </w:r>
            <w:r>
              <w:rPr>
                <w:color w:val="000000" w:themeColor="text1"/>
                <w:sz w:val="22"/>
                <w:szCs w:val="22"/>
                <w:lang w:val="vi-VN"/>
              </w:rPr>
              <w:t xml:space="preserve">các </w:t>
            </w:r>
            <w:r>
              <w:rPr>
                <w:color w:val="000000" w:themeColor="text1"/>
                <w:sz w:val="22"/>
                <w:szCs w:val="22"/>
              </w:rPr>
              <w:t>PCT. UBND tỉnh;</w:t>
            </w:r>
          </w:p>
          <w:p w:rsidR="00CC3C21" w:rsidRDefault="0061149C">
            <w:pPr>
              <w:rPr>
                <w:color w:val="000000"/>
                <w:sz w:val="22"/>
                <w:szCs w:val="22"/>
              </w:rPr>
            </w:pPr>
            <w:r>
              <w:rPr>
                <w:color w:val="000000" w:themeColor="text1"/>
                <w:sz w:val="22"/>
                <w:szCs w:val="22"/>
              </w:rPr>
              <w:t>- Phó CVP (Phan);</w:t>
            </w:r>
          </w:p>
          <w:p w:rsidR="00CC3C21" w:rsidRDefault="0061149C">
            <w:pPr>
              <w:jc w:val="both"/>
              <w:rPr>
                <w:sz w:val="22"/>
                <w:szCs w:val="22"/>
              </w:rPr>
            </w:pPr>
            <w:r>
              <w:rPr>
                <w:color w:val="000000" w:themeColor="text1"/>
                <w:sz w:val="22"/>
                <w:szCs w:val="22"/>
              </w:rPr>
              <w:t xml:space="preserve">- </w:t>
            </w:r>
            <w:r>
              <w:rPr>
                <w:sz w:val="22"/>
                <w:szCs w:val="22"/>
              </w:rPr>
              <w:t>TT. PVHC công tỉnh;</w:t>
            </w:r>
          </w:p>
          <w:p w:rsidR="00CC3C21" w:rsidRDefault="0061149C">
            <w:pPr>
              <w:rPr>
                <w:color w:val="000000"/>
                <w:sz w:val="22"/>
                <w:szCs w:val="22"/>
              </w:rPr>
            </w:pPr>
            <w:r>
              <w:rPr>
                <w:color w:val="000000" w:themeColor="text1"/>
                <w:sz w:val="22"/>
                <w:szCs w:val="22"/>
              </w:rPr>
              <w:t>- Phòng VHXH;</w:t>
            </w:r>
          </w:p>
          <w:p w:rsidR="00CC3C21" w:rsidRDefault="0061149C">
            <w:pPr>
              <w:rPr>
                <w:color w:val="000000"/>
                <w:sz w:val="22"/>
                <w:szCs w:val="22"/>
              </w:rPr>
            </w:pPr>
            <w:r>
              <w:rPr>
                <w:sz w:val="22"/>
              </w:rPr>
              <w:t>- Phòng CTHĐND;</w:t>
            </w:r>
          </w:p>
          <w:p w:rsidR="00CC3C21" w:rsidRDefault="0061149C">
            <w:pPr>
              <w:rPr>
                <w:iCs/>
                <w:color w:val="000000"/>
                <w:sz w:val="22"/>
                <w:szCs w:val="22"/>
                <w:lang w:val="nl-NL"/>
              </w:rPr>
            </w:pPr>
            <w:r>
              <w:rPr>
                <w:rFonts w:eastAsia="Calibri"/>
                <w:color w:val="000000" w:themeColor="text1"/>
                <w:sz w:val="22"/>
                <w:szCs w:val="22"/>
              </w:rPr>
              <w:t>- Lưu:</w:t>
            </w:r>
            <w:r>
              <w:rPr>
                <w:rFonts w:eastAsia="Calibri"/>
                <w:color w:val="000000" w:themeColor="text1"/>
                <w:sz w:val="22"/>
                <w:szCs w:val="22"/>
                <w:lang w:val="vi-VN"/>
              </w:rPr>
              <w:t xml:space="preserve"> </w:t>
            </w:r>
            <w:r>
              <w:rPr>
                <w:rFonts w:eastAsia="Calibri"/>
                <w:color w:val="000000" w:themeColor="text1"/>
                <w:sz w:val="22"/>
                <w:szCs w:val="22"/>
              </w:rPr>
              <w:t>VT, Mai.</w:t>
            </w:r>
          </w:p>
        </w:tc>
        <w:tc>
          <w:tcPr>
            <w:tcW w:w="4531" w:type="dxa"/>
          </w:tcPr>
          <w:p w:rsidR="00CC3C21" w:rsidRDefault="0061149C">
            <w:pPr>
              <w:jc w:val="center"/>
              <w:rPr>
                <w:b/>
                <w:color w:val="000000"/>
                <w:lang w:val="nl-NL"/>
              </w:rPr>
            </w:pPr>
            <w:r>
              <w:rPr>
                <w:b/>
                <w:color w:val="000000" w:themeColor="text1"/>
                <w:lang w:val="nl-NL"/>
              </w:rPr>
              <w:t xml:space="preserve">TM. ỦY BAN NHÂN DÂN </w:t>
            </w:r>
          </w:p>
          <w:p w:rsidR="00CC3C21" w:rsidRDefault="0061149C">
            <w:pPr>
              <w:jc w:val="center"/>
              <w:rPr>
                <w:b/>
                <w:color w:val="000000"/>
                <w:lang w:val="nl-NL"/>
              </w:rPr>
            </w:pPr>
            <w:r>
              <w:rPr>
                <w:b/>
                <w:color w:val="000000" w:themeColor="text1"/>
                <w:lang w:val="nl-NL"/>
              </w:rPr>
              <w:t>CHỦ TỊCH</w:t>
            </w:r>
          </w:p>
          <w:p w:rsidR="00CC3C21" w:rsidRDefault="00CC3C21">
            <w:pPr>
              <w:jc w:val="center"/>
              <w:rPr>
                <w:b/>
                <w:color w:val="000000"/>
                <w:lang w:val="nl-NL"/>
              </w:rPr>
            </w:pPr>
          </w:p>
          <w:p w:rsidR="00CC3C21" w:rsidRDefault="00CC3C21">
            <w:pPr>
              <w:jc w:val="center"/>
              <w:rPr>
                <w:b/>
                <w:color w:val="000000"/>
                <w:lang w:val="nl-NL"/>
              </w:rPr>
            </w:pPr>
          </w:p>
          <w:p w:rsidR="00CC3C21" w:rsidRDefault="00CC3C21">
            <w:pPr>
              <w:jc w:val="center"/>
              <w:rPr>
                <w:b/>
                <w:color w:val="000000"/>
                <w:lang w:val="nl-NL"/>
              </w:rPr>
            </w:pPr>
          </w:p>
          <w:p w:rsidR="00CC3C21" w:rsidRDefault="00CC3C21">
            <w:pPr>
              <w:jc w:val="center"/>
              <w:rPr>
                <w:b/>
                <w:color w:val="000000"/>
                <w:lang w:val="nl-NL"/>
              </w:rPr>
            </w:pPr>
          </w:p>
          <w:p w:rsidR="00CC3C21" w:rsidRDefault="00CC3C21">
            <w:pPr>
              <w:jc w:val="center"/>
              <w:rPr>
                <w:b/>
                <w:color w:val="000000"/>
                <w:lang w:val="nl-NL"/>
              </w:rPr>
            </w:pPr>
          </w:p>
          <w:p w:rsidR="00CC3C21" w:rsidRDefault="00CC3C21">
            <w:pPr>
              <w:jc w:val="center"/>
              <w:rPr>
                <w:b/>
                <w:color w:val="000000"/>
                <w:lang w:val="nl-NL"/>
              </w:rPr>
            </w:pPr>
          </w:p>
          <w:p w:rsidR="00CC3C21" w:rsidRDefault="0061149C">
            <w:pPr>
              <w:jc w:val="center"/>
              <w:rPr>
                <w:b/>
                <w:color w:val="000000"/>
                <w:lang w:val="nl-NL"/>
              </w:rPr>
            </w:pPr>
            <w:r>
              <w:rPr>
                <w:b/>
                <w:color w:val="000000" w:themeColor="text1"/>
                <w:lang w:val="nl-NL"/>
              </w:rPr>
              <w:t>Trần Văn Cần</w:t>
            </w:r>
          </w:p>
        </w:tc>
      </w:tr>
    </w:tbl>
    <w:p w:rsidR="00CC3C21" w:rsidRDefault="00CC3C21">
      <w:pPr>
        <w:pStyle w:val="Footer"/>
        <w:tabs>
          <w:tab w:val="clear" w:pos="4320"/>
          <w:tab w:val="clear" w:pos="8640"/>
          <w:tab w:val="left" w:pos="4560"/>
        </w:tabs>
        <w:spacing w:before="120" w:after="120"/>
        <w:ind w:firstLine="709"/>
        <w:jc w:val="both"/>
        <w:rPr>
          <w:color w:val="000000"/>
          <w:sz w:val="28"/>
        </w:rPr>
      </w:pPr>
    </w:p>
    <w:p w:rsidR="00CC3C21" w:rsidRDefault="00CC3C21">
      <w:pPr>
        <w:rPr>
          <w:b/>
          <w:bCs/>
          <w:color w:val="000000"/>
        </w:rPr>
      </w:pPr>
    </w:p>
    <w:p w:rsidR="00CC3C21" w:rsidRDefault="0061149C">
      <w:pPr>
        <w:rPr>
          <w:i/>
          <w:iCs/>
          <w:color w:val="000000"/>
        </w:rPr>
      </w:pPr>
      <w:r>
        <w:rPr>
          <w:b/>
          <w:bCs/>
          <w:color w:val="000000" w:themeColor="text1"/>
        </w:rPr>
        <w:t xml:space="preserve">                          </w:t>
      </w:r>
    </w:p>
    <w:sectPr w:rsidR="00CC3C21">
      <w:headerReference w:type="default" r:id="rId8"/>
      <w:footerReference w:type="default" r:id="rId9"/>
      <w:pgSz w:w="11907" w:h="16840"/>
      <w:pgMar w:top="1134" w:right="1134" w:bottom="1134" w:left="1701"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9C" w:rsidRDefault="0061149C">
      <w:r>
        <w:separator/>
      </w:r>
    </w:p>
  </w:endnote>
  <w:endnote w:type="continuationSeparator" w:id="0">
    <w:p w:rsidR="0061149C" w:rsidRDefault="006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21" w:rsidRDefault="0061149C">
    <w:pPr>
      <w:pStyle w:val="Footer"/>
      <w:jc w:val="right"/>
    </w:pPr>
    <w:r>
      <w:rPr>
        <w:rStyle w:val="PageNumber"/>
      </w:rPr>
      <w:fldChar w:fldCharType="begin"/>
    </w:r>
    <w:r>
      <w:rPr>
        <w:rStyle w:val="PageNumber"/>
      </w:rPr>
      <w:instrText xml:space="preserve"> PAGE </w:instrText>
    </w:r>
    <w:r>
      <w:rPr>
        <w:rStyle w:val="PageNumber"/>
      </w:rPr>
      <w:fldChar w:fldCharType="separate"/>
    </w:r>
    <w:r w:rsidR="00DF7D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9C" w:rsidRDefault="0061149C">
      <w:r>
        <w:separator/>
      </w:r>
    </w:p>
  </w:footnote>
  <w:footnote w:type="continuationSeparator" w:id="0">
    <w:p w:rsidR="0061149C" w:rsidRDefault="00611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21" w:rsidRDefault="00CC3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3E2"/>
    <w:multiLevelType w:val="hybridMultilevel"/>
    <w:tmpl w:val="A2BEBD62"/>
    <w:lvl w:ilvl="0" w:tplc="CE2E3DB2">
      <w:start w:val="1"/>
      <w:numFmt w:val="bullet"/>
      <w:lvlText w:val="–"/>
      <w:lvlJc w:val="left"/>
      <w:pPr>
        <w:ind w:left="720" w:hanging="360"/>
      </w:pPr>
      <w:rPr>
        <w:rFonts w:ascii="Arial" w:eastAsia="Arial" w:hAnsi="Arial" w:cs="Arial" w:hint="default"/>
      </w:rPr>
    </w:lvl>
    <w:lvl w:ilvl="1" w:tplc="48DC79F8">
      <w:start w:val="1"/>
      <w:numFmt w:val="bullet"/>
      <w:lvlText w:val="o"/>
      <w:lvlJc w:val="left"/>
      <w:pPr>
        <w:ind w:left="1440" w:hanging="360"/>
      </w:pPr>
      <w:rPr>
        <w:rFonts w:ascii="Courier New" w:eastAsia="Courier New" w:hAnsi="Courier New" w:cs="Courier New"/>
      </w:rPr>
    </w:lvl>
    <w:lvl w:ilvl="2" w:tplc="99EA3CF6">
      <w:start w:val="1"/>
      <w:numFmt w:val="bullet"/>
      <w:lvlText w:val="§"/>
      <w:lvlJc w:val="left"/>
      <w:pPr>
        <w:ind w:left="2160" w:hanging="360"/>
      </w:pPr>
      <w:rPr>
        <w:rFonts w:ascii="Wingdings" w:eastAsia="Wingdings" w:hAnsi="Wingdings" w:cs="Wingdings"/>
      </w:rPr>
    </w:lvl>
    <w:lvl w:ilvl="3" w:tplc="15802AB0">
      <w:start w:val="1"/>
      <w:numFmt w:val="bullet"/>
      <w:lvlText w:val="·"/>
      <w:lvlJc w:val="left"/>
      <w:pPr>
        <w:ind w:left="2880" w:hanging="360"/>
      </w:pPr>
      <w:rPr>
        <w:rFonts w:ascii="Symbol" w:eastAsia="Symbol" w:hAnsi="Symbol" w:cs="Symbol"/>
      </w:rPr>
    </w:lvl>
    <w:lvl w:ilvl="4" w:tplc="0B7009D2">
      <w:start w:val="1"/>
      <w:numFmt w:val="bullet"/>
      <w:lvlText w:val="o"/>
      <w:lvlJc w:val="left"/>
      <w:pPr>
        <w:ind w:left="3600" w:hanging="360"/>
      </w:pPr>
      <w:rPr>
        <w:rFonts w:ascii="Courier New" w:eastAsia="Courier New" w:hAnsi="Courier New" w:cs="Courier New"/>
      </w:rPr>
    </w:lvl>
    <w:lvl w:ilvl="5" w:tplc="24CCECFA">
      <w:start w:val="1"/>
      <w:numFmt w:val="bullet"/>
      <w:lvlText w:val="§"/>
      <w:lvlJc w:val="left"/>
      <w:pPr>
        <w:ind w:left="4320" w:hanging="360"/>
      </w:pPr>
      <w:rPr>
        <w:rFonts w:ascii="Wingdings" w:eastAsia="Wingdings" w:hAnsi="Wingdings" w:cs="Wingdings"/>
      </w:rPr>
    </w:lvl>
    <w:lvl w:ilvl="6" w:tplc="D590AC84">
      <w:start w:val="1"/>
      <w:numFmt w:val="bullet"/>
      <w:lvlText w:val="·"/>
      <w:lvlJc w:val="left"/>
      <w:pPr>
        <w:ind w:left="5040" w:hanging="360"/>
      </w:pPr>
      <w:rPr>
        <w:rFonts w:ascii="Symbol" w:eastAsia="Symbol" w:hAnsi="Symbol" w:cs="Symbol"/>
      </w:rPr>
    </w:lvl>
    <w:lvl w:ilvl="7" w:tplc="D1C2ADD4">
      <w:start w:val="1"/>
      <w:numFmt w:val="bullet"/>
      <w:lvlText w:val="o"/>
      <w:lvlJc w:val="left"/>
      <w:pPr>
        <w:ind w:left="5760" w:hanging="360"/>
      </w:pPr>
      <w:rPr>
        <w:rFonts w:ascii="Courier New" w:eastAsia="Courier New" w:hAnsi="Courier New" w:cs="Courier New"/>
      </w:rPr>
    </w:lvl>
    <w:lvl w:ilvl="8" w:tplc="3E50F8C2">
      <w:start w:val="1"/>
      <w:numFmt w:val="bullet"/>
      <w:lvlText w:val="§"/>
      <w:lvlJc w:val="left"/>
      <w:pPr>
        <w:ind w:left="6480" w:hanging="360"/>
      </w:pPr>
      <w:rPr>
        <w:rFonts w:ascii="Wingdings" w:eastAsia="Wingdings" w:hAnsi="Wingdings" w:cs="Wingdings"/>
      </w:rPr>
    </w:lvl>
  </w:abstractNum>
  <w:abstractNum w:abstractNumId="1">
    <w:nsid w:val="5DE868CC"/>
    <w:multiLevelType w:val="hybridMultilevel"/>
    <w:tmpl w:val="5192E8F8"/>
    <w:lvl w:ilvl="0" w:tplc="3564A2B0">
      <w:start w:val="1"/>
      <w:numFmt w:val="bullet"/>
      <w:lvlText w:val="-"/>
      <w:lvlJc w:val="left"/>
      <w:pPr>
        <w:ind w:left="1429" w:hanging="360"/>
      </w:pPr>
      <w:rPr>
        <w:rFonts w:ascii="Times New Roman" w:eastAsia="Times New Roman" w:hAnsi="Times New Roman" w:cs="Times New Roman" w:hint="default"/>
      </w:rPr>
    </w:lvl>
    <w:lvl w:ilvl="1" w:tplc="A0E05822">
      <w:start w:val="1"/>
      <w:numFmt w:val="bullet"/>
      <w:lvlText w:val="o"/>
      <w:lvlJc w:val="left"/>
      <w:pPr>
        <w:ind w:left="2149" w:hanging="360"/>
      </w:pPr>
      <w:rPr>
        <w:rFonts w:ascii="Courier New" w:hAnsi="Courier New" w:cs="Courier New" w:hint="default"/>
      </w:rPr>
    </w:lvl>
    <w:lvl w:ilvl="2" w:tplc="93B05EB0">
      <w:start w:val="1"/>
      <w:numFmt w:val="bullet"/>
      <w:lvlText w:val=""/>
      <w:lvlJc w:val="left"/>
      <w:pPr>
        <w:ind w:left="2869" w:hanging="360"/>
      </w:pPr>
      <w:rPr>
        <w:rFonts w:ascii="Wingdings" w:hAnsi="Wingdings" w:hint="default"/>
      </w:rPr>
    </w:lvl>
    <w:lvl w:ilvl="3" w:tplc="108ADA52">
      <w:start w:val="1"/>
      <w:numFmt w:val="bullet"/>
      <w:lvlText w:val=""/>
      <w:lvlJc w:val="left"/>
      <w:pPr>
        <w:ind w:left="3589" w:hanging="360"/>
      </w:pPr>
      <w:rPr>
        <w:rFonts w:ascii="Symbol" w:hAnsi="Symbol" w:hint="default"/>
      </w:rPr>
    </w:lvl>
    <w:lvl w:ilvl="4" w:tplc="FFCE2208">
      <w:start w:val="1"/>
      <w:numFmt w:val="bullet"/>
      <w:lvlText w:val="o"/>
      <w:lvlJc w:val="left"/>
      <w:pPr>
        <w:ind w:left="4309" w:hanging="360"/>
      </w:pPr>
      <w:rPr>
        <w:rFonts w:ascii="Courier New" w:hAnsi="Courier New" w:cs="Courier New" w:hint="default"/>
      </w:rPr>
    </w:lvl>
    <w:lvl w:ilvl="5" w:tplc="D62C0BDC">
      <w:start w:val="1"/>
      <w:numFmt w:val="bullet"/>
      <w:lvlText w:val=""/>
      <w:lvlJc w:val="left"/>
      <w:pPr>
        <w:ind w:left="5029" w:hanging="360"/>
      </w:pPr>
      <w:rPr>
        <w:rFonts w:ascii="Wingdings" w:hAnsi="Wingdings" w:hint="default"/>
      </w:rPr>
    </w:lvl>
    <w:lvl w:ilvl="6" w:tplc="6FEAECFA">
      <w:start w:val="1"/>
      <w:numFmt w:val="bullet"/>
      <w:lvlText w:val=""/>
      <w:lvlJc w:val="left"/>
      <w:pPr>
        <w:ind w:left="5749" w:hanging="360"/>
      </w:pPr>
      <w:rPr>
        <w:rFonts w:ascii="Symbol" w:hAnsi="Symbol" w:hint="default"/>
      </w:rPr>
    </w:lvl>
    <w:lvl w:ilvl="7" w:tplc="CADE21F6">
      <w:start w:val="1"/>
      <w:numFmt w:val="bullet"/>
      <w:lvlText w:val="o"/>
      <w:lvlJc w:val="left"/>
      <w:pPr>
        <w:ind w:left="6469" w:hanging="360"/>
      </w:pPr>
      <w:rPr>
        <w:rFonts w:ascii="Courier New" w:hAnsi="Courier New" w:cs="Courier New" w:hint="default"/>
      </w:rPr>
    </w:lvl>
    <w:lvl w:ilvl="8" w:tplc="370C42B2">
      <w:start w:val="1"/>
      <w:numFmt w:val="bullet"/>
      <w:lvlText w:val=""/>
      <w:lvlJc w:val="left"/>
      <w:pPr>
        <w:ind w:left="7189" w:hanging="360"/>
      </w:pPr>
      <w:rPr>
        <w:rFonts w:ascii="Wingdings" w:hAnsi="Wingdings" w:hint="default"/>
      </w:rPr>
    </w:lvl>
  </w:abstractNum>
  <w:abstractNum w:abstractNumId="2">
    <w:nsid w:val="6A8C5B8F"/>
    <w:multiLevelType w:val="hybridMultilevel"/>
    <w:tmpl w:val="72324B48"/>
    <w:lvl w:ilvl="0" w:tplc="94EE17AE">
      <w:start w:val="1"/>
      <w:numFmt w:val="decimal"/>
      <w:lvlText w:val="%1."/>
      <w:lvlJc w:val="left"/>
      <w:pPr>
        <w:ind w:left="1069" w:hanging="360"/>
      </w:pPr>
      <w:rPr>
        <w:rFonts w:hint="default"/>
      </w:rPr>
    </w:lvl>
    <w:lvl w:ilvl="1" w:tplc="C1BCD862">
      <w:start w:val="1"/>
      <w:numFmt w:val="lowerLetter"/>
      <w:lvlText w:val="%2."/>
      <w:lvlJc w:val="left"/>
      <w:pPr>
        <w:ind w:left="1789" w:hanging="360"/>
      </w:pPr>
    </w:lvl>
    <w:lvl w:ilvl="2" w:tplc="A1CCB7D8">
      <w:start w:val="1"/>
      <w:numFmt w:val="lowerRoman"/>
      <w:lvlText w:val="%3."/>
      <w:lvlJc w:val="right"/>
      <w:pPr>
        <w:ind w:left="2509" w:hanging="180"/>
      </w:pPr>
    </w:lvl>
    <w:lvl w:ilvl="3" w:tplc="79C85904">
      <w:start w:val="1"/>
      <w:numFmt w:val="decimal"/>
      <w:lvlText w:val="%4."/>
      <w:lvlJc w:val="left"/>
      <w:pPr>
        <w:ind w:left="3229" w:hanging="360"/>
      </w:pPr>
    </w:lvl>
    <w:lvl w:ilvl="4" w:tplc="7B807716">
      <w:start w:val="1"/>
      <w:numFmt w:val="lowerLetter"/>
      <w:lvlText w:val="%5."/>
      <w:lvlJc w:val="left"/>
      <w:pPr>
        <w:ind w:left="3949" w:hanging="360"/>
      </w:pPr>
    </w:lvl>
    <w:lvl w:ilvl="5" w:tplc="152A39EE">
      <w:start w:val="1"/>
      <w:numFmt w:val="lowerRoman"/>
      <w:lvlText w:val="%6."/>
      <w:lvlJc w:val="right"/>
      <w:pPr>
        <w:ind w:left="4669" w:hanging="180"/>
      </w:pPr>
    </w:lvl>
    <w:lvl w:ilvl="6" w:tplc="E70EBCBA">
      <w:start w:val="1"/>
      <w:numFmt w:val="decimal"/>
      <w:lvlText w:val="%7."/>
      <w:lvlJc w:val="left"/>
      <w:pPr>
        <w:ind w:left="5389" w:hanging="360"/>
      </w:pPr>
    </w:lvl>
    <w:lvl w:ilvl="7" w:tplc="E3A24344">
      <w:start w:val="1"/>
      <w:numFmt w:val="lowerLetter"/>
      <w:lvlText w:val="%8."/>
      <w:lvlJc w:val="left"/>
      <w:pPr>
        <w:ind w:left="6109" w:hanging="360"/>
      </w:pPr>
    </w:lvl>
    <w:lvl w:ilvl="8" w:tplc="DC380CAE">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1"/>
    <w:rsid w:val="0061149C"/>
    <w:rsid w:val="00CC3C21"/>
    <w:rsid w:val="00DF7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outlineLvl w:val="0"/>
    </w:pPr>
    <w:rPr>
      <w:rFonts w:ascii="VNI-Times" w:hAnsi="VNI-Times"/>
      <w:b/>
      <w:bCs/>
      <w:sz w:val="26"/>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uiPriority w:val="99"/>
    <w:pPr>
      <w:tabs>
        <w:tab w:val="center" w:pos="4320"/>
        <w:tab w:val="right" w:pos="8640"/>
      </w:tabs>
    </w:pPr>
    <w:rPr>
      <w:sz w:val="24"/>
    </w:rPr>
  </w:style>
  <w:style w:type="paragraph" w:styleId="BodyTextIndent">
    <w:name w:val="Body Text Indent"/>
    <w:basedOn w:val="Normal"/>
    <w:pPr>
      <w:ind w:left="1980" w:hanging="1080"/>
    </w:pPr>
    <w:rPr>
      <w:sz w:val="22"/>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Pr>
      <w:sz w:val="24"/>
      <w:szCs w:val="2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outlineLvl w:val="0"/>
    </w:pPr>
    <w:rPr>
      <w:rFonts w:ascii="VNI-Times" w:hAnsi="VNI-Times"/>
      <w:b/>
      <w:bCs/>
      <w:sz w:val="26"/>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uiPriority w:val="99"/>
    <w:pPr>
      <w:tabs>
        <w:tab w:val="center" w:pos="4320"/>
        <w:tab w:val="right" w:pos="8640"/>
      </w:tabs>
    </w:pPr>
    <w:rPr>
      <w:sz w:val="24"/>
    </w:rPr>
  </w:style>
  <w:style w:type="paragraph" w:styleId="BodyTextIndent">
    <w:name w:val="Body Text Indent"/>
    <w:basedOn w:val="Normal"/>
    <w:pPr>
      <w:ind w:left="1980" w:hanging="1080"/>
    </w:pPr>
    <w:rPr>
      <w:sz w:val="22"/>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Pr>
      <w:sz w:val="24"/>
      <w:szCs w:val="2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849DC-B4DB-483A-A5AB-DC247A602192}"/>
</file>

<file path=customXml/itemProps2.xml><?xml version="1.0" encoding="utf-8"?>
<ds:datastoreItem xmlns:ds="http://schemas.openxmlformats.org/officeDocument/2006/customXml" ds:itemID="{977499DA-1E3A-4351-A9CE-DE857870BE38}"/>
</file>

<file path=customXml/itemProps3.xml><?xml version="1.0" encoding="utf-8"?>
<ds:datastoreItem xmlns:ds="http://schemas.openxmlformats.org/officeDocument/2006/customXml" ds:itemID="{80CB58FC-3C04-41A3-B555-8AFBC21013D9}"/>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Company>&lt;arabianhorse&gt;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LONG AN            CỘNG HÒA XÃ HỘI CHỦ NGHĨA VIỆT NAM</dc:title>
  <dc:creator>Home</dc:creator>
  <cp:lastModifiedBy>User</cp:lastModifiedBy>
  <cp:revision>2</cp:revision>
  <dcterms:created xsi:type="dcterms:W3CDTF">2020-05-20T01:20:00Z</dcterms:created>
  <dcterms:modified xsi:type="dcterms:W3CDTF">2020-05-20T01:20:00Z</dcterms:modified>
</cp:coreProperties>
</file>