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237"/>
      </w:tblGrid>
      <w:tr w:rsidR="00E2028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85" w:rsidRDefault="00F6264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525780</wp:posOffset>
                      </wp:positionV>
                      <wp:extent cx="7905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0" o:spid="_x0000_s0" o:spt="20" style="position:absolute;mso-wrap-distance-left:9.0pt;mso-wrap-distance-top:0.0pt;mso-wrap-distance-right:9.0pt;mso-wrap-distance-bottom:0.0pt;z-index:251659264;o:allowoverlap:true;o:allowincell:true;mso-position-horizontal-relative:text;margin-left:43.5pt;mso-position-horizontal:absolute;mso-position-vertical-relative:text;margin-top:41.4pt;mso-position-vertical:absolute;width:62.3pt;height:0.0pt;" coordsize="100000,100000" path="" filled="f" strokecolor="#487BB4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ỦY BAN NHÂN DÂN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 xml:space="preserve">TỈNH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LONG AN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85" w:rsidRDefault="00F6264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523875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1" o:spid="_x0000_s1" o:spt="20" style="position:absolute;mso-wrap-distance-left:9.0pt;mso-wrap-distance-top:0.0pt;mso-wrap-distance-right:9.0pt;mso-wrap-distance-bottom:0.0pt;z-index:251660288;o:allowoverlap:true;o:allowincell:true;mso-position-horizontal-relative:text;margin-left:59.5pt;mso-position-horizontal:absolute;mso-position-vertical-relative:text;margin-top:41.3pt;mso-position-vertical:absolute;width:180.0pt;height:0.0pt;" coordsize="100000,100000" path="" filled="f" strokecolor="#487BB4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E2028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85" w:rsidRDefault="00F6264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/2020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/QĐ-UBND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85" w:rsidRDefault="00F6264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Long An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, ngày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04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6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năm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</w:tr>
    </w:tbl>
    <w:p w:rsidR="00E20285" w:rsidRDefault="00F6264E">
      <w:pPr>
        <w:spacing w:before="120" w:after="100" w:afterAutospacing="1" w:line="175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</w:t>
      </w:r>
    </w:p>
    <w:p w:rsidR="00E20285" w:rsidRDefault="00F6264E">
      <w:pPr>
        <w:spacing w:before="120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1"/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QUYẾT ĐỊNH</w:t>
      </w:r>
      <w:bookmarkEnd w:id="0"/>
    </w:p>
    <w:p w:rsidR="00E20285" w:rsidRDefault="00F6264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Ban hành Quy chế phối hợp trong công tác rà soát, hệ thống hóa </w:t>
      </w:r>
    </w:p>
    <w:p w:rsidR="00E20285" w:rsidRDefault="00F6264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văn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bản quy phạm pháp luật trên địa bàn tỉnh Long An</w:t>
      </w:r>
    </w:p>
    <w:p w:rsidR="00E20285" w:rsidRDefault="00D2652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"/>
          <w:szCs w:val="28"/>
        </w:rPr>
        <w:t>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E20285" w:rsidRDefault="00F6264E">
      <w:pPr>
        <w:spacing w:before="120" w:after="100" w:afterAutospacing="1" w:line="283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ỦY BAN NHÂN DÂN TỈNH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LONG AN</w:t>
      </w:r>
    </w:p>
    <w:p w:rsidR="00E20285" w:rsidRDefault="00E20285">
      <w:pPr>
        <w:spacing w:before="120" w:after="100" w:afterAutospacing="1" w:line="283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285" w:rsidRDefault="00F6264E">
      <w:pPr>
        <w:spacing w:before="120" w:after="100" w:afterAutospacing="1" w:line="283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Căn cứ Luật Tổ chức chính quy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n địa phương ngày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19/6/2015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;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Luật sửa đổi, bổ sung một số điều của Luật Tổ chức chính phủ và Luật Tổ chức chính quyền địa phương ngày 22/11/2019;</w:t>
      </w:r>
    </w:p>
    <w:p w:rsidR="00E20285" w:rsidRDefault="00F6264E">
      <w:pPr>
        <w:spacing w:before="120" w:after="100" w:afterAutospacing="1" w:line="283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Căn cứ Luật Ban hành văn bản quy phạm pháp luật ngày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22/6/2015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;</w:t>
      </w:r>
    </w:p>
    <w:p w:rsidR="00E20285" w:rsidRDefault="00F6264E">
      <w:pPr>
        <w:spacing w:before="120" w:after="100" w:afterAutospacing="1" w:line="283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Căn cứ Nghị định số 34/2016/NĐ-CP ngày 14/5/2016 của Ch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nh phủ quy định chi t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ết một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số điều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và biện pháp thi hành Luật Ban hành văn bản quy phạm pháp luật;</w:t>
      </w:r>
    </w:p>
    <w:p w:rsidR="00E20285" w:rsidRDefault="00F6264E">
      <w:pPr>
        <w:spacing w:before="120" w:after="100" w:afterAutospacing="1" w:line="283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đề nghị của Giám đốc Sở Tư pháp tại Tờ trình số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2251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/TTr-STP ngày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27/5/2020.</w:t>
      </w:r>
      <w:proofErr w:type="gramEnd"/>
    </w:p>
    <w:p w:rsidR="00E20285" w:rsidRDefault="00F6264E">
      <w:pPr>
        <w:spacing w:before="120" w:after="100" w:afterAutospacing="1" w:line="283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QUYẾT ĐỊNH:</w:t>
      </w:r>
    </w:p>
    <w:p w:rsidR="00E20285" w:rsidRDefault="00F6264E">
      <w:pPr>
        <w:spacing w:before="120" w:after="100" w:afterAutospacing="1" w:line="283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ieu_1"/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Điều 1.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bookmarkStart w:id="3" w:name="dieu_1_name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Ban hành kèm theo Quyết định này Quy chế phối hợ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p trong công tác rà soát, hệ thống hóa văn bản quy phạm pháp luật trên địa bàn tỉnh </w:t>
      </w:r>
      <w:r>
        <w:rPr>
          <w:rFonts w:ascii="Times New Roman" w:eastAsia="Times New Roman" w:hAnsi="Times New Roman" w:cs="Times New Roman"/>
          <w:sz w:val="28"/>
          <w:szCs w:val="28"/>
        </w:rPr>
        <w:t>Long An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bookmarkEnd w:id="3"/>
    </w:p>
    <w:p w:rsidR="00E20285" w:rsidRDefault="00F6264E">
      <w:pPr>
        <w:spacing w:before="120" w:after="100" w:afterAutospacing="1" w:line="283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ieu_2"/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Điều 2.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bookmarkStart w:id="5" w:name="dieu_2_name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Quyết định này có hiệu lực thi hành kể từ ngày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01/7/2020.</w:t>
      </w:r>
    </w:p>
    <w:p w:rsidR="00E20285" w:rsidRDefault="00F6264E">
      <w:pPr>
        <w:spacing w:before="120" w:after="100" w:afterAutospacing="1" w:line="283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Điều 3.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Chánh Văn phòng </w:t>
      </w:r>
      <w:r>
        <w:rPr>
          <w:rFonts w:ascii="Times New Roman" w:eastAsia="Times New Roman" w:hAnsi="Times New Roman" w:cs="Times New Roman"/>
          <w:sz w:val="28"/>
          <w:szCs w:val="28"/>
        </w:rPr>
        <w:t>Đoàn Đại biểu Quốc hội, Hội đồng nhân dân và Ủy ban nhân dân tỉnh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; Giám đ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ốc Sở Tư pháp; Thủ trưởng các sở, ngành tỉnh; Chủ tịch Ủy ban nhân dân các huyện,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thị xã,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thành phố; Chủ tịch Ủy ban nhân dân các xã, phường, thị trấn; các tổ chức, cá nhân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liên quan chịu trách nhiệm thi hành Quyết định này./.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4"/>
        <w:gridCol w:w="3685"/>
      </w:tblGrid>
      <w:tr w:rsidR="00E20285"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85" w:rsidRDefault="00F62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lang w:val="vi-VN"/>
              </w:rPr>
              <w:t xml:space="preserve">- Như Điều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vi-V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vi-VN"/>
              </w:rPr>
              <w:t>- Cục Kiểm tra văn bản QPPL - Bộ Tư pháp;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vi-VN"/>
              </w:rPr>
              <w:t>- TT. Tỉnh ủy, TT. HĐND tỉnh;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vi-VN"/>
              </w:rPr>
              <w:t>- Đoàn ĐBQH tỉnh;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vi-VN"/>
              </w:rPr>
              <w:t>- MTTQ và các tổ chức đoàn thể tỉnh;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vi-VN"/>
              </w:rPr>
              <w:t>- 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lang w:val="vi-VN"/>
              </w:rPr>
              <w:t>, các P</w:t>
            </w:r>
            <w:r>
              <w:rPr>
                <w:rFonts w:ascii="Times New Roman" w:eastAsia="Times New Roman" w:hAnsi="Times New Roman" w:cs="Times New Roman"/>
              </w:rPr>
              <w:t>hó CT.</w:t>
            </w:r>
            <w:r>
              <w:rPr>
                <w:rFonts w:ascii="Times New Roman" w:eastAsia="Times New Roman" w:hAnsi="Times New Roman" w:cs="Times New Roman"/>
                <w:lang w:val="vi-VN"/>
              </w:rPr>
              <w:t xml:space="preserve"> UBND tỉnh;</w:t>
            </w:r>
          </w:p>
          <w:p w:rsidR="00E20285" w:rsidRDefault="00F62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Chánh, Phó VP tỉnh (TCD);</w:t>
            </w:r>
          </w:p>
          <w:p w:rsidR="00E20285" w:rsidRDefault="00F62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Sở, ngành tỉnh;</w:t>
            </w:r>
          </w:p>
          <w:p w:rsidR="00E20285" w:rsidRDefault="00F62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Công báo tỉnh</w:t>
            </w:r>
            <w:r>
              <w:rPr>
                <w:rFonts w:ascii="Times New Roman" w:eastAsia="Times New Roman" w:hAnsi="Times New Roman" w:cs="Times New Roman"/>
                <w:lang w:val="vi-VN"/>
              </w:rPr>
              <w:t>;</w:t>
            </w:r>
          </w:p>
          <w:p w:rsidR="00E20285" w:rsidRDefault="00F6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- Cổng thông tin điện tử tỉnh;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vi-VN"/>
              </w:rPr>
              <w:t>- Lưu:</w:t>
            </w:r>
            <w:r>
              <w:rPr>
                <w:rFonts w:ascii="Times New Roman" w:eastAsia="Times New Roman" w:hAnsi="Times New Roman" w:cs="Times New Roman"/>
                <w:lang w:val="vi-VN"/>
              </w:rPr>
              <w:t xml:space="preserve"> VT,</w:t>
            </w: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85" w:rsidRDefault="00F6264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TM. ỦY BAN NHÂN DÂN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CHỦ TỊCH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</w:p>
        </w:tc>
      </w:tr>
    </w:tbl>
    <w:p w:rsidR="00E20285" w:rsidRDefault="00F6264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E20285">
      <w:pgSz w:w="11907" w:h="16840"/>
      <w:pgMar w:top="1440" w:right="1440" w:bottom="8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4E" w:rsidRDefault="00F6264E">
      <w:pPr>
        <w:spacing w:after="0" w:line="240" w:lineRule="auto"/>
      </w:pPr>
      <w:r>
        <w:separator/>
      </w:r>
    </w:p>
  </w:endnote>
  <w:endnote w:type="continuationSeparator" w:id="0">
    <w:p w:rsidR="00F6264E" w:rsidRDefault="00F6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4E" w:rsidRDefault="00F6264E">
      <w:pPr>
        <w:spacing w:after="0" w:line="240" w:lineRule="auto"/>
      </w:pPr>
      <w:r>
        <w:separator/>
      </w:r>
    </w:p>
  </w:footnote>
  <w:footnote w:type="continuationSeparator" w:id="0">
    <w:p w:rsidR="00F6264E" w:rsidRDefault="00F62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85"/>
    <w:rsid w:val="003A05CB"/>
    <w:rsid w:val="00D2652D"/>
    <w:rsid w:val="00E20285"/>
    <w:rsid w:val="00F6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3E66-D5AA-4817-9593-CFCD9DBD4ACB}"/>
</file>

<file path=customXml/itemProps2.xml><?xml version="1.0" encoding="utf-8"?>
<ds:datastoreItem xmlns:ds="http://schemas.openxmlformats.org/officeDocument/2006/customXml" ds:itemID="{0A24E9F6-3BD7-4347-A888-428846CC695C}"/>
</file>

<file path=customXml/itemProps3.xml><?xml version="1.0" encoding="utf-8"?>
<ds:datastoreItem xmlns:ds="http://schemas.openxmlformats.org/officeDocument/2006/customXml" ds:itemID="{EDFEC9ED-32B3-4EAE-AEBF-A2EA3AE4C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2020-06-09T07:19:00Z</dcterms:created>
  <dcterms:modified xsi:type="dcterms:W3CDTF">2020-06-09T07:19:00Z</dcterms:modified>
</cp:coreProperties>
</file>