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675"/>
        <w:gridCol w:w="5812"/>
      </w:tblGrid>
      <w:tr w:rsidR="000634B0" w:rsidTr="00A81640">
        <w:tblPrEx>
          <w:tblCellMar>
            <w:top w:w="0" w:type="dxa"/>
            <w:bottom w:w="0" w:type="dxa"/>
          </w:tblCellMar>
        </w:tblPrEx>
        <w:trPr>
          <w:trHeight w:val="1901"/>
        </w:trPr>
        <w:tc>
          <w:tcPr>
            <w:tcW w:w="3675" w:type="dxa"/>
            <w:tcBorders>
              <w:top w:val="nil"/>
              <w:left w:val="nil"/>
              <w:bottom w:val="nil"/>
              <w:right w:val="nil"/>
            </w:tcBorders>
            <w:shd w:val="clear" w:color="000000" w:fill="FFFFFF"/>
          </w:tcPr>
          <w:p w:rsidR="000634B0" w:rsidRDefault="000634B0" w:rsidP="00A81640">
            <w:pPr>
              <w:autoSpaceDE w:val="0"/>
              <w:autoSpaceDN w:val="0"/>
              <w:adjustRightInd w:val="0"/>
              <w:ind w:left="57" w:right="57"/>
              <w:jc w:val="center"/>
              <w:rPr>
                <w:b/>
                <w:bCs/>
                <w:color w:val="000000"/>
                <w:lang/>
              </w:rPr>
            </w:pPr>
            <w:r>
              <w:rPr>
                <w:b/>
                <w:bCs/>
                <w:color w:val="000000"/>
                <w:sz w:val="24"/>
                <w:szCs w:val="24"/>
                <w:lang/>
              </w:rPr>
              <w:t>ỦY BAN NHÂN DÂN</w:t>
            </w:r>
          </w:p>
          <w:p w:rsidR="000634B0" w:rsidRDefault="000634B0" w:rsidP="00A81640">
            <w:pPr>
              <w:tabs>
                <w:tab w:val="left" w:pos="5580"/>
              </w:tabs>
              <w:autoSpaceDE w:val="0"/>
              <w:autoSpaceDN w:val="0"/>
              <w:adjustRightInd w:val="0"/>
              <w:ind w:left="57" w:right="57"/>
              <w:jc w:val="center"/>
              <w:rPr>
                <w:b/>
                <w:bCs/>
                <w:color w:val="000000"/>
                <w:sz w:val="24"/>
                <w:szCs w:val="24"/>
                <w:lang/>
              </w:rPr>
            </w:pPr>
            <w:r>
              <w:rPr>
                <w:b/>
                <w:bCs/>
                <w:color w:val="000000"/>
                <w:sz w:val="24"/>
                <w:szCs w:val="24"/>
                <w:lang/>
              </w:rPr>
              <w:t>TỈNH BÀ RỊA- VŨNG TÀU</w:t>
            </w:r>
          </w:p>
          <w:p w:rsidR="000634B0" w:rsidRDefault="000634B0" w:rsidP="00A81640">
            <w:pPr>
              <w:tabs>
                <w:tab w:val="left" w:pos="1635"/>
                <w:tab w:val="center" w:pos="1836"/>
                <w:tab w:val="left" w:pos="5580"/>
              </w:tabs>
              <w:autoSpaceDE w:val="0"/>
              <w:autoSpaceDN w:val="0"/>
              <w:adjustRightInd w:val="0"/>
              <w:ind w:left="57" w:right="57"/>
              <w:jc w:val="center"/>
              <w:rPr>
                <w:color w:val="000000"/>
                <w:sz w:val="24"/>
                <w:szCs w:val="24"/>
                <w:lang/>
              </w:rPr>
            </w:pPr>
          </w:p>
          <w:p w:rsidR="000634B0" w:rsidRDefault="000634B0" w:rsidP="000634B0">
            <w:pPr>
              <w:tabs>
                <w:tab w:val="left" w:pos="1635"/>
                <w:tab w:val="center" w:pos="1836"/>
                <w:tab w:val="left" w:pos="5580"/>
              </w:tabs>
              <w:autoSpaceDE w:val="0"/>
              <w:autoSpaceDN w:val="0"/>
              <w:adjustRightInd w:val="0"/>
              <w:ind w:left="57" w:right="57"/>
              <w:jc w:val="center"/>
              <w:rPr>
                <w:rFonts w:ascii="Calibri" w:hAnsi="Calibri" w:cs="Calibri"/>
                <w:sz w:val="22"/>
                <w:szCs w:val="22"/>
                <w:lang/>
              </w:rPr>
            </w:pPr>
            <w:r>
              <w:rPr>
                <w:color w:val="000000"/>
                <w:sz w:val="24"/>
                <w:szCs w:val="24"/>
                <w:lang/>
              </w:rPr>
              <w:t>Số: 46/2000/CT-UB</w:t>
            </w:r>
          </w:p>
        </w:tc>
        <w:tc>
          <w:tcPr>
            <w:tcW w:w="5812" w:type="dxa"/>
            <w:tcBorders>
              <w:top w:val="nil"/>
              <w:left w:val="nil"/>
              <w:bottom w:val="nil"/>
              <w:right w:val="nil"/>
            </w:tcBorders>
            <w:shd w:val="clear" w:color="000000" w:fill="FFFFFF"/>
          </w:tcPr>
          <w:p w:rsidR="000634B0" w:rsidRDefault="000634B0" w:rsidP="00A81640">
            <w:pPr>
              <w:tabs>
                <w:tab w:val="left" w:pos="5580"/>
              </w:tabs>
              <w:autoSpaceDE w:val="0"/>
              <w:autoSpaceDN w:val="0"/>
              <w:adjustRightInd w:val="0"/>
              <w:ind w:left="57" w:right="57"/>
              <w:jc w:val="center"/>
              <w:rPr>
                <w:b/>
                <w:bCs/>
                <w:color w:val="000000"/>
                <w:sz w:val="26"/>
                <w:szCs w:val="26"/>
                <w:lang/>
              </w:rPr>
            </w:pPr>
            <w:r>
              <w:rPr>
                <w:b/>
                <w:bCs/>
                <w:color w:val="000000"/>
                <w:sz w:val="26"/>
                <w:szCs w:val="26"/>
                <w:lang/>
              </w:rPr>
              <w:t>CỘNG HÒA XÃ HỘI CHỦ NGHĨA VIỆT NĂM</w:t>
            </w:r>
          </w:p>
          <w:p w:rsidR="000634B0" w:rsidRDefault="000634B0" w:rsidP="00A81640">
            <w:pPr>
              <w:tabs>
                <w:tab w:val="left" w:pos="5580"/>
              </w:tabs>
              <w:autoSpaceDE w:val="0"/>
              <w:autoSpaceDN w:val="0"/>
              <w:adjustRightInd w:val="0"/>
              <w:ind w:left="57" w:right="57"/>
              <w:jc w:val="center"/>
              <w:rPr>
                <w:b/>
                <w:bCs/>
                <w:color w:val="000000"/>
                <w:lang/>
              </w:rPr>
            </w:pPr>
            <w:r>
              <w:rPr>
                <w:b/>
                <w:bCs/>
                <w:color w:val="000000"/>
                <w:lang/>
              </w:rPr>
              <w:t>Độc lập - Tự do – Hạnh phúc</w:t>
            </w:r>
          </w:p>
          <w:p w:rsidR="000634B0" w:rsidRDefault="000634B0" w:rsidP="00A81640">
            <w:pPr>
              <w:tabs>
                <w:tab w:val="left" w:pos="5580"/>
              </w:tabs>
              <w:autoSpaceDE w:val="0"/>
              <w:autoSpaceDN w:val="0"/>
              <w:adjustRightInd w:val="0"/>
              <w:ind w:left="57" w:right="57"/>
              <w:jc w:val="center"/>
              <w:rPr>
                <w:i/>
                <w:iCs/>
                <w:color w:val="000000"/>
                <w:sz w:val="24"/>
                <w:szCs w:val="24"/>
                <w:lang/>
              </w:rPr>
            </w:pPr>
          </w:p>
          <w:p w:rsidR="000634B0" w:rsidRDefault="000634B0" w:rsidP="000634B0">
            <w:pPr>
              <w:tabs>
                <w:tab w:val="left" w:pos="5580"/>
              </w:tabs>
              <w:autoSpaceDE w:val="0"/>
              <w:autoSpaceDN w:val="0"/>
              <w:adjustRightInd w:val="0"/>
              <w:ind w:left="57" w:right="57"/>
              <w:jc w:val="center"/>
              <w:rPr>
                <w:rFonts w:ascii="Calibri" w:hAnsi="Calibri" w:cs="Calibri"/>
                <w:sz w:val="22"/>
                <w:szCs w:val="22"/>
                <w:lang/>
              </w:rPr>
            </w:pPr>
            <w:r>
              <w:rPr>
                <w:i/>
                <w:iCs/>
                <w:color w:val="000000"/>
                <w:sz w:val="24"/>
                <w:szCs w:val="24"/>
                <w:lang/>
              </w:rPr>
              <w:t>Vũng Tàu, ngày 26 tháng 7 năm 2000</w:t>
            </w:r>
          </w:p>
        </w:tc>
      </w:tr>
    </w:tbl>
    <w:p w:rsidR="000634B0" w:rsidRDefault="000634B0" w:rsidP="000634B0">
      <w:pPr>
        <w:keepNext/>
        <w:keepLines/>
        <w:autoSpaceDE w:val="0"/>
        <w:autoSpaceDN w:val="0"/>
        <w:adjustRightInd w:val="0"/>
        <w:ind w:left="57" w:right="-716"/>
        <w:jc w:val="center"/>
        <w:rPr>
          <w:b/>
          <w:bCs/>
          <w:lang/>
        </w:rPr>
      </w:pPr>
      <w:r>
        <w:rPr>
          <w:b/>
          <w:bCs/>
          <w:lang/>
        </w:rPr>
        <w:t>CHỈ THỊ CỦA UBND TỈNH BÀ RỊA – VŨNG TÀU</w:t>
      </w:r>
    </w:p>
    <w:p w:rsidR="000634B0" w:rsidRPr="00EB6F8C" w:rsidRDefault="000634B0" w:rsidP="000634B0">
      <w:pPr>
        <w:spacing w:before="120" w:after="120"/>
        <w:ind w:right="-716"/>
        <w:jc w:val="center"/>
        <w:rPr>
          <w:b/>
        </w:rPr>
      </w:pPr>
      <w:r w:rsidRPr="00EB6F8C">
        <w:rPr>
          <w:b/>
        </w:rPr>
        <w:t>V/v quản lý chất thải nguy hại trên địa bàn tỉnh Bà Rịa - Vũng Tàu</w:t>
      </w:r>
    </w:p>
    <w:p w:rsidR="000634B0" w:rsidRPr="00EB6F8C" w:rsidRDefault="000634B0" w:rsidP="000634B0">
      <w:pPr>
        <w:spacing w:before="120" w:after="120"/>
        <w:ind w:right="-716"/>
        <w:jc w:val="center"/>
      </w:pPr>
      <w:r>
        <w:t>___________</w:t>
      </w:r>
    </w:p>
    <w:p w:rsidR="000634B0" w:rsidRDefault="000634B0" w:rsidP="000634B0">
      <w:pPr>
        <w:spacing w:before="120" w:after="120"/>
        <w:ind w:right="-716" w:firstLine="709"/>
        <w:jc w:val="both"/>
      </w:pPr>
    </w:p>
    <w:p w:rsidR="000634B0" w:rsidRPr="00EB6F8C" w:rsidRDefault="000634B0" w:rsidP="000634B0">
      <w:pPr>
        <w:spacing w:before="120" w:after="120"/>
        <w:ind w:right="-716" w:firstLine="709"/>
        <w:jc w:val="both"/>
      </w:pPr>
      <w:r w:rsidRPr="00EB6F8C">
        <w:t>Trong các năm qua, chất thải nguy hại (CTNH) trên địa bàn tỉnh chưa được quản lý chặt ch</w:t>
      </w:r>
      <w:r>
        <w:t>ẽ</w:t>
      </w:r>
      <w:r w:rsidRPr="00EB6F8C">
        <w:t>, một s</w:t>
      </w:r>
      <w:r>
        <w:t>ố</w:t>
      </w:r>
      <w:r w:rsidRPr="00EB6F8C">
        <w:t xml:space="preserve"> chất thải nguy hại có độc tính cao không được phân loại và xử lý riêng, phần lớn được thu gom và xử lý chung với chất thải sinh hoạt. Các CTNH hầu hết có chứa các chất hoặc hợp chất có một trong các đặc tính gây nguy hại trực tiếp (dễ cháy, dễ nổ, làm ngộ độc, dễ ăn mòn, dễ lây nhiễm và các đặc tính gây nguy hạ</w:t>
      </w:r>
      <w:r>
        <w:t>i khác</w:t>
      </w:r>
      <w:r w:rsidRPr="00EB6F8C">
        <w:t>), hoặc tương tác với các chất khác gây nguy hại tới môi trường và sức khỏe con người. Để quản lý chặt chẽ nguồn chất thải này và thực hiện nghiêm Quyết định số: 155/1999/QĐ.TTg ngày 16/7/1999 của Thủ tướng Chính phủ v/v ban hàn</w:t>
      </w:r>
      <w:r>
        <w:t>h quy chế</w:t>
      </w:r>
      <w:r w:rsidRPr="00EB6F8C">
        <w:t xml:space="preserve"> quản lý CTNH, UBND tỉnh chỉ thị:</w:t>
      </w:r>
    </w:p>
    <w:p w:rsidR="000634B0" w:rsidRPr="00EB6F8C" w:rsidRDefault="000634B0" w:rsidP="000634B0">
      <w:pPr>
        <w:spacing w:before="120" w:after="120"/>
        <w:ind w:right="-716" w:firstLine="709"/>
        <w:jc w:val="both"/>
      </w:pPr>
      <w:r>
        <w:t xml:space="preserve">1. </w:t>
      </w:r>
      <w:r w:rsidRPr="00EB6F8C">
        <w:t xml:space="preserve">Các tổ chức, cá nhân có các hoạt động liên quan đến CTNH phải tuân thủ các quy định của Quy chế quản lý CTNH (ban hành kèm </w:t>
      </w:r>
      <w:proofErr w:type="gramStart"/>
      <w:r w:rsidRPr="00EB6F8C">
        <w:t>theo</w:t>
      </w:r>
      <w:proofErr w:type="gramEnd"/>
      <w:r w:rsidRPr="00EB6F8C">
        <w:t xml:space="preserve"> Quyết định số: 155/1999/QĐ.TTg), đặc biệ</w:t>
      </w:r>
      <w:r>
        <w:t>t lưu ý</w:t>
      </w:r>
      <w:r w:rsidRPr="00EB6F8C">
        <w:t>:</w:t>
      </w:r>
    </w:p>
    <w:p w:rsidR="000634B0" w:rsidRPr="00EB6F8C" w:rsidRDefault="000634B0" w:rsidP="000634B0">
      <w:pPr>
        <w:spacing w:before="120" w:after="120"/>
        <w:ind w:right="-716" w:firstLine="709"/>
        <w:jc w:val="both"/>
      </w:pPr>
      <w:r>
        <w:t xml:space="preserve">- </w:t>
      </w:r>
      <w:r w:rsidRPr="00EB6F8C">
        <w:t>Chủ nguồn thải CTNH: Phải đóng gói chất thải nguy hại theo chủng loại trong các bao bì thích hợp, lưu giữ an toàn trong khu vực sản xuất trước khi chuy</w:t>
      </w:r>
      <w:r>
        <w:t>ể</w:t>
      </w:r>
      <w:r w:rsidRPr="00EB6F8C">
        <w:t>n giao CTNH cho các chủ thu gom, vận chuyển, lưu giữ, xử lý, tiêu hủy. Khi không có đủ năng lực thu gom, vận chuyển, xử lý, tiêu hủy CTNH phát sinh tại cơ sở của mình thì phải ký hợp đồng với các đơn vị có gi</w:t>
      </w:r>
      <w:r>
        <w:t>ấ</w:t>
      </w:r>
      <w:r w:rsidRPr="00EB6F8C">
        <w:t>y phép hoạt động và phải có trách nhiệm kiểm tra, xác nhận CTNH trong quá trình thu gom, vận chuyển, lưu giữ, xử lý, tiêu hủy đến đúng nơi quy định.</w:t>
      </w:r>
    </w:p>
    <w:p w:rsidR="000634B0" w:rsidRPr="00EB6F8C" w:rsidRDefault="000634B0" w:rsidP="000634B0">
      <w:pPr>
        <w:spacing w:before="120" w:after="120"/>
        <w:ind w:right="-716" w:firstLine="709"/>
        <w:jc w:val="both"/>
      </w:pPr>
      <w:r>
        <w:t xml:space="preserve">- </w:t>
      </w:r>
      <w:r w:rsidRPr="00EB6F8C">
        <w:t xml:space="preserve">Chủ </w:t>
      </w:r>
      <w:proofErr w:type="gramStart"/>
      <w:r w:rsidRPr="00EB6F8C">
        <w:t>thu</w:t>
      </w:r>
      <w:proofErr w:type="gramEnd"/>
      <w:r w:rsidRPr="00EB6F8C">
        <w:t xml:space="preserve"> gom, vận chuyển CTNH: Phải có các phương tiện chuyên dùng đảm bảo các yêu cầu an toàn kỹ thuật và phải được phép của cơ quan quản lý Nhà nước về môi trường có thẩm quyền.</w:t>
      </w:r>
    </w:p>
    <w:p w:rsidR="000634B0" w:rsidRPr="00EB6F8C" w:rsidRDefault="000634B0" w:rsidP="000634B0">
      <w:pPr>
        <w:spacing w:before="120" w:after="120"/>
        <w:ind w:right="-716" w:firstLine="709"/>
        <w:jc w:val="both"/>
      </w:pPr>
      <w:r>
        <w:t xml:space="preserve">- </w:t>
      </w:r>
      <w:r w:rsidRPr="00EB6F8C">
        <w:t>Chủ lưu giữ, xử lý, tiêu hủy chất thải nguy hại: Phải sử dụng các phương tiện, thiết bị lưu giữ, công nghệ xử lý, tiêu hủy CTNH theo đúng quy định trong giấy phép hoạt động do cơ quan quản lý Nhà nước về môi trường cấp.</w:t>
      </w:r>
    </w:p>
    <w:p w:rsidR="000634B0" w:rsidRDefault="000634B0" w:rsidP="000634B0">
      <w:pPr>
        <w:spacing w:before="120" w:after="120"/>
        <w:ind w:right="-716" w:firstLine="709"/>
        <w:jc w:val="both"/>
      </w:pPr>
      <w:r>
        <w:t xml:space="preserve">2. </w:t>
      </w:r>
      <w:r w:rsidRPr="00EB6F8C">
        <w:t>Sở Khoa học công nghệ &amp; môi trường có trách nhiệm:</w:t>
      </w:r>
    </w:p>
    <w:p w:rsidR="000634B0" w:rsidRPr="00EB6F8C" w:rsidRDefault="000634B0" w:rsidP="000634B0">
      <w:pPr>
        <w:spacing w:before="120" w:after="120"/>
        <w:ind w:right="-716" w:firstLine="709"/>
        <w:jc w:val="both"/>
      </w:pPr>
      <w:r>
        <w:t xml:space="preserve">- </w:t>
      </w:r>
      <w:r w:rsidRPr="00EB6F8C">
        <w:t xml:space="preserve">Cấp sổ đăng ký quản lý CTNH hoặc các giấy phép cho các chủ nguồn thải, </w:t>
      </w:r>
      <w:proofErr w:type="gramStart"/>
      <w:r w:rsidRPr="00EB6F8C">
        <w:t>thu</w:t>
      </w:r>
      <w:proofErr w:type="gramEnd"/>
      <w:r w:rsidRPr="00EB6F8C">
        <w:t xml:space="preserve"> gom, vận chuyển, lưu giữ và tiêu hủy CTNH.</w:t>
      </w:r>
    </w:p>
    <w:p w:rsidR="000634B0" w:rsidRPr="00EB6F8C" w:rsidRDefault="000634B0" w:rsidP="000634B0">
      <w:pPr>
        <w:spacing w:before="120" w:after="120"/>
        <w:ind w:right="-716" w:firstLine="709"/>
        <w:jc w:val="both"/>
      </w:pPr>
      <w:r>
        <w:lastRenderedPageBreak/>
        <w:t xml:space="preserve">- </w:t>
      </w:r>
      <w:r w:rsidRPr="00EB6F8C">
        <w:t>Hướng dẫn nội dung, yêu cầu xây dựng báo cáo đánh giá tác động môi trường cho các chủ cơ sở lưu giữ, xử lý, tiêu hủy các bãi chôn lấp CTNH trình UBND tỉnh phê duyệt (theo phân cấp).</w:t>
      </w:r>
    </w:p>
    <w:p w:rsidR="000634B0" w:rsidRPr="00EB6F8C" w:rsidRDefault="000634B0" w:rsidP="000634B0">
      <w:pPr>
        <w:spacing w:before="120" w:after="120"/>
        <w:ind w:right="-716" w:firstLine="709"/>
        <w:jc w:val="both"/>
      </w:pPr>
      <w:r>
        <w:t xml:space="preserve">- </w:t>
      </w:r>
      <w:r w:rsidRPr="00EB6F8C">
        <w:t>Tổ chức điều tra, đánh giá mức độ ô nhiễm môi trường tại các khu lưu giữ, các cơ sở xử lý, tiêu hủy, các bãi chôn lấp CTNH trên địa bàn tỉnh.</w:t>
      </w:r>
    </w:p>
    <w:p w:rsidR="000634B0" w:rsidRPr="00EB6F8C" w:rsidRDefault="000634B0" w:rsidP="000634B0">
      <w:pPr>
        <w:spacing w:before="120" w:after="120"/>
        <w:ind w:right="-716" w:firstLine="709"/>
        <w:jc w:val="both"/>
      </w:pPr>
      <w:r>
        <w:t xml:space="preserve">- </w:t>
      </w:r>
      <w:r w:rsidRPr="00EB6F8C">
        <w:t>Tuyên tuyền, đào tạo, nâng cao nhận thức về quản lý CTNH trên địa bàn tỉnh.</w:t>
      </w:r>
    </w:p>
    <w:p w:rsidR="000634B0" w:rsidRPr="00EB6F8C" w:rsidRDefault="000634B0" w:rsidP="000634B0">
      <w:pPr>
        <w:spacing w:before="120" w:after="120"/>
        <w:ind w:right="-716" w:firstLine="709"/>
        <w:jc w:val="both"/>
      </w:pPr>
      <w:r>
        <w:t xml:space="preserve">- </w:t>
      </w:r>
      <w:r w:rsidRPr="00EB6F8C">
        <w:t>Hàng năm tiến hành thống kê CTNH, tổng hợp tình hình CTNH trên địa bàn tỉnh để báo cáo Bộ Khoa học công nghệ và Môi Trường tổng hợp trình Thủ tướng Chính phủ.</w:t>
      </w:r>
    </w:p>
    <w:p w:rsidR="000634B0" w:rsidRPr="00EB6F8C" w:rsidRDefault="000634B0" w:rsidP="000634B0">
      <w:pPr>
        <w:spacing w:before="120" w:after="120"/>
        <w:ind w:right="-716" w:firstLine="709"/>
        <w:jc w:val="both"/>
      </w:pPr>
      <w:r>
        <w:t xml:space="preserve">3. </w:t>
      </w:r>
      <w:r w:rsidRPr="00EB6F8C">
        <w:t>Sở Xây dựng có trách nhiệm lập quy hoạch, kế hoạch xây dựng các khu lưu giữ, các cơ sở xử lý, tiêu hủy và các bãi chôn lấp CTNH hợp vệ sinh trên địa bàn tỉnh và trình UBND tỉnh phê duyệt trước ngày 30/12/2000.</w:t>
      </w:r>
    </w:p>
    <w:p w:rsidR="000634B0" w:rsidRPr="00EB6F8C" w:rsidRDefault="000634B0" w:rsidP="000634B0">
      <w:pPr>
        <w:spacing w:before="120" w:after="120"/>
        <w:ind w:right="-716" w:firstLine="709"/>
        <w:jc w:val="both"/>
      </w:pPr>
      <w:r>
        <w:t xml:space="preserve">4. </w:t>
      </w:r>
      <w:r w:rsidRPr="00EB6F8C">
        <w:t>Sở Giao thông vận tải có trách nhiệm lập kế hoạch khả thi (phương án tổ chức, phương tiện, thiết bị, công nghệ, vốn,..) và trình UBND tỉnh phê duyệt trước ngày 30/12/2000 và tổ chức thực hiện tốt k</w:t>
      </w:r>
      <w:r>
        <w:t>ế</w:t>
      </w:r>
      <w:r w:rsidRPr="00EB6F8C">
        <w:t xml:space="preserve"> hoạch quản lý ch</w:t>
      </w:r>
      <w:r>
        <w:t>ấ</w:t>
      </w:r>
      <w:r w:rsidRPr="00EB6F8C">
        <w:t>t thải bao gồm cả thu gom, vận chuyển, lưu giữ, xử lý, tiêu hủy CTNH trên địa bàn tỉnh.</w:t>
      </w:r>
    </w:p>
    <w:p w:rsidR="000634B0" w:rsidRPr="00EB6F8C" w:rsidRDefault="000634B0" w:rsidP="000634B0">
      <w:pPr>
        <w:spacing w:before="120" w:after="120"/>
        <w:ind w:right="-716" w:firstLine="709"/>
        <w:jc w:val="both"/>
      </w:pPr>
      <w:r>
        <w:t xml:space="preserve">5. </w:t>
      </w:r>
      <w:r w:rsidRPr="00EB6F8C">
        <w:t>Các cơ quan thông tin đại chúng có trách nhiệm tăng cường các biện pháp, hình thức và nội dung tuyên truyền Chỉ thị của UBND tỉnh.</w:t>
      </w:r>
    </w:p>
    <w:p w:rsidR="000634B0" w:rsidRPr="00EB6F8C" w:rsidRDefault="000634B0" w:rsidP="000634B0">
      <w:pPr>
        <w:spacing w:before="120" w:after="120"/>
        <w:ind w:right="-716" w:firstLine="709"/>
        <w:jc w:val="both"/>
      </w:pPr>
      <w:proofErr w:type="gramStart"/>
      <w:r w:rsidRPr="00EB6F8C">
        <w:t>Chỉ thị này có hiệu lực kể từ ngày ký, Giám đốc Sở Khoa học công nghệ và môi trường có trách nhiệm hàng năm báo cáo k</w:t>
      </w:r>
      <w:r>
        <w:t>ế</w:t>
      </w:r>
      <w:r w:rsidRPr="00EB6F8C">
        <w:t>t quả thực hiện Chỉ thị này về UBND tỉnh.</w:t>
      </w:r>
      <w:proofErr w:type="gramEnd"/>
      <w:r w:rsidRPr="00EB6F8C">
        <w:t xml:space="preserve"> Trong quá trình thực hiện nếu có vướng mắc, các Sở</w:t>
      </w:r>
      <w:r>
        <w:t>, ban,</w:t>
      </w:r>
      <w:r w:rsidRPr="00EB6F8C">
        <w:t xml:space="preserve"> ngành và </w:t>
      </w:r>
      <w:r>
        <w:t>U</w:t>
      </w:r>
      <w:r w:rsidRPr="00EB6F8C">
        <w:t>BND các huyện, Thành ph</w:t>
      </w:r>
      <w:r>
        <w:t>ố</w:t>
      </w:r>
      <w:r w:rsidRPr="00EB6F8C">
        <w:t>, Thị xã báo cáo UBND tỉnh để kịp thời giải quyết.</w:t>
      </w:r>
      <w:r>
        <w:t>/.</w:t>
      </w:r>
    </w:p>
    <w:p w:rsidR="000634B0" w:rsidRPr="00EB6F8C" w:rsidRDefault="000634B0" w:rsidP="000634B0">
      <w:pPr>
        <w:spacing w:before="120" w:after="120"/>
        <w:ind w:firstLine="709"/>
        <w:jc w:val="both"/>
      </w:pPr>
    </w:p>
    <w:p w:rsidR="000634B0" w:rsidRDefault="000634B0" w:rsidP="000634B0">
      <w:pPr>
        <w:autoSpaceDE w:val="0"/>
        <w:autoSpaceDN w:val="0"/>
        <w:adjustRightInd w:val="0"/>
        <w:ind w:left="57" w:right="57"/>
        <w:jc w:val="both"/>
        <w:rPr>
          <w:b/>
          <w:bCs/>
          <w:lang/>
        </w:rPr>
      </w:pPr>
      <w:r>
        <w:rPr>
          <w:b/>
          <w:bCs/>
          <w:highlight w:val="white"/>
          <w:lang/>
        </w:rPr>
        <w:t xml:space="preserve">                                         </w:t>
      </w:r>
      <w:proofErr w:type="gramStart"/>
      <w:r>
        <w:rPr>
          <w:b/>
          <w:bCs/>
          <w:highlight w:val="white"/>
          <w:lang/>
        </w:rPr>
        <w:t>TM.</w:t>
      </w:r>
      <w:proofErr w:type="gramEnd"/>
      <w:r>
        <w:rPr>
          <w:b/>
          <w:bCs/>
          <w:highlight w:val="white"/>
          <w:lang/>
        </w:rPr>
        <w:t xml:space="preserve"> UBND TỈNH BÀ RỊA – VŨNG TÀU</w:t>
      </w:r>
      <w:r>
        <w:rPr>
          <w:rFonts w:ascii="Calibri" w:hAnsi="Calibri" w:cs="Calibri"/>
          <w:b/>
          <w:bCs/>
          <w:sz w:val="26"/>
          <w:szCs w:val="26"/>
          <w:lang/>
        </w:rPr>
        <w:tab/>
      </w:r>
      <w:r>
        <w:rPr>
          <w:rFonts w:ascii="Calibri" w:hAnsi="Calibri" w:cs="Calibri"/>
          <w:b/>
          <w:bCs/>
          <w:sz w:val="26"/>
          <w:szCs w:val="26"/>
          <w:lang/>
        </w:rPr>
        <w:tab/>
      </w:r>
      <w:r>
        <w:rPr>
          <w:rFonts w:ascii="Calibri" w:hAnsi="Calibri" w:cs="Calibri"/>
          <w:b/>
          <w:bCs/>
          <w:sz w:val="26"/>
          <w:szCs w:val="26"/>
          <w:lang/>
        </w:rPr>
        <w:tab/>
      </w:r>
      <w:r>
        <w:rPr>
          <w:rFonts w:ascii="Calibri" w:hAnsi="Calibri" w:cs="Calibri"/>
          <w:b/>
          <w:bCs/>
          <w:sz w:val="26"/>
          <w:szCs w:val="26"/>
          <w:lang/>
        </w:rPr>
        <w:tab/>
      </w:r>
      <w:r>
        <w:rPr>
          <w:rFonts w:ascii="Calibri" w:hAnsi="Calibri" w:cs="Calibri"/>
          <w:b/>
          <w:bCs/>
          <w:sz w:val="26"/>
          <w:szCs w:val="26"/>
          <w:lang/>
        </w:rPr>
        <w:tab/>
      </w:r>
      <w:r>
        <w:rPr>
          <w:rFonts w:ascii="Calibri" w:hAnsi="Calibri" w:cs="Calibri"/>
          <w:b/>
          <w:bCs/>
          <w:sz w:val="26"/>
          <w:szCs w:val="26"/>
          <w:lang/>
        </w:rPr>
        <w:tab/>
        <w:t xml:space="preserve">        </w:t>
      </w:r>
      <w:r>
        <w:rPr>
          <w:b/>
          <w:bCs/>
          <w:lang/>
        </w:rPr>
        <w:t>KT. CHỦ TỊCH</w:t>
      </w:r>
    </w:p>
    <w:p w:rsidR="000634B0" w:rsidRDefault="000634B0" w:rsidP="000634B0">
      <w:pPr>
        <w:autoSpaceDE w:val="0"/>
        <w:autoSpaceDN w:val="0"/>
        <w:adjustRightInd w:val="0"/>
        <w:ind w:left="57" w:right="57"/>
        <w:jc w:val="both"/>
        <w:rPr>
          <w:b/>
          <w:bCs/>
          <w:lang/>
        </w:rPr>
      </w:pPr>
      <w:r>
        <w:rPr>
          <w:b/>
          <w:bCs/>
          <w:lang/>
        </w:rPr>
        <w:t xml:space="preserve">   </w:t>
      </w:r>
      <w:r>
        <w:rPr>
          <w:b/>
          <w:bCs/>
          <w:lang/>
        </w:rPr>
        <w:tab/>
      </w:r>
      <w:r>
        <w:rPr>
          <w:b/>
          <w:bCs/>
          <w:lang/>
        </w:rPr>
        <w:tab/>
      </w:r>
      <w:r>
        <w:rPr>
          <w:b/>
          <w:bCs/>
          <w:lang/>
        </w:rPr>
        <w:tab/>
      </w:r>
      <w:r>
        <w:rPr>
          <w:b/>
          <w:bCs/>
          <w:lang/>
        </w:rPr>
        <w:tab/>
      </w:r>
      <w:r>
        <w:rPr>
          <w:b/>
          <w:bCs/>
          <w:lang/>
        </w:rPr>
        <w:tab/>
        <w:t xml:space="preserve">       PHÓ CHỦ TỊCH</w:t>
      </w:r>
    </w:p>
    <w:p w:rsidR="000634B0" w:rsidRDefault="000634B0" w:rsidP="000634B0">
      <w:pPr>
        <w:autoSpaceDE w:val="0"/>
        <w:autoSpaceDN w:val="0"/>
        <w:adjustRightInd w:val="0"/>
        <w:ind w:left="57" w:right="57"/>
        <w:jc w:val="both"/>
        <w:rPr>
          <w:b/>
          <w:bCs/>
          <w:lang/>
        </w:rPr>
      </w:pPr>
    </w:p>
    <w:p w:rsidR="000634B0" w:rsidRDefault="000634B0" w:rsidP="000634B0">
      <w:pPr>
        <w:autoSpaceDE w:val="0"/>
        <w:autoSpaceDN w:val="0"/>
        <w:adjustRightInd w:val="0"/>
        <w:ind w:left="57" w:right="57"/>
        <w:jc w:val="both"/>
        <w:rPr>
          <w:b/>
          <w:bCs/>
          <w:lang/>
        </w:rPr>
      </w:pPr>
    </w:p>
    <w:p w:rsidR="00D7281F" w:rsidRPr="000634B0" w:rsidRDefault="000634B0" w:rsidP="000634B0">
      <w:pPr>
        <w:autoSpaceDE w:val="0"/>
        <w:autoSpaceDN w:val="0"/>
        <w:adjustRightInd w:val="0"/>
        <w:ind w:left="3657" w:right="57"/>
        <w:jc w:val="both"/>
        <w:rPr>
          <w:b/>
          <w:bCs/>
          <w:lang/>
        </w:rPr>
      </w:pPr>
      <w:r>
        <w:rPr>
          <w:b/>
          <w:bCs/>
          <w:lang/>
        </w:rPr>
        <w:t xml:space="preserve">      Nguyễn Văn Nhân</w:t>
      </w:r>
    </w:p>
    <w:sectPr w:rsidR="00D7281F" w:rsidRPr="000634B0" w:rsidSect="000634B0">
      <w:pgSz w:w="12240" w:h="15840"/>
      <w:pgMar w:top="993"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40"/>
  <w:drawingGridVerticalSpacing w:val="381"/>
  <w:displayHorizontalDrawingGridEvery w:val="2"/>
  <w:characterSpacingControl w:val="doNotCompress"/>
  <w:compat/>
  <w:rsids>
    <w:rsidRoot w:val="000634B0"/>
    <w:rsid w:val="000634B0"/>
    <w:rsid w:val="003D7F26"/>
    <w:rsid w:val="004A5465"/>
    <w:rsid w:val="005C546C"/>
    <w:rsid w:val="005D327C"/>
    <w:rsid w:val="00AA5E36"/>
    <w:rsid w:val="00D72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B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9685F-15BC-46EA-9D4B-C1EB7ADB3019}"/>
</file>

<file path=customXml/itemProps2.xml><?xml version="1.0" encoding="utf-8"?>
<ds:datastoreItem xmlns:ds="http://schemas.openxmlformats.org/officeDocument/2006/customXml" ds:itemID="{A58A5D8F-454B-45C5-9996-636E630116F1}"/>
</file>

<file path=customXml/itemProps3.xml><?xml version="1.0" encoding="utf-8"?>
<ds:datastoreItem xmlns:ds="http://schemas.openxmlformats.org/officeDocument/2006/customXml" ds:itemID="{FA13B3B9-E6C0-49E5-A1D2-BCA8798F426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yennth</dc:creator>
  <cp:lastModifiedBy>yennth</cp:lastModifiedBy>
  <cp:revision>1</cp:revision>
  <dcterms:created xsi:type="dcterms:W3CDTF">2017-03-13T09:19:00Z</dcterms:created>
  <dcterms:modified xsi:type="dcterms:W3CDTF">2017-03-13T09:21:00Z</dcterms:modified>
</cp:coreProperties>
</file>