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shd w:val="clear" w:color="auto" w:fill="FFFFFF"/>
        <w:tblCellMar>
          <w:left w:w="0" w:type="dxa"/>
          <w:right w:w="0" w:type="dxa"/>
        </w:tblCellMar>
        <w:tblLook w:val="0000"/>
      </w:tblPr>
      <w:tblGrid>
        <w:gridCol w:w="3348"/>
        <w:gridCol w:w="6297"/>
      </w:tblGrid>
      <w:tr w:rsidR="00A101B2" w:rsidRPr="006D141E" w:rsidTr="00CC5A3E">
        <w:tc>
          <w:tcPr>
            <w:tcW w:w="3348" w:type="dxa"/>
            <w:shd w:val="clear" w:color="auto" w:fill="FFFFFF"/>
            <w:tcMar>
              <w:top w:w="0" w:type="dxa"/>
              <w:left w:w="108" w:type="dxa"/>
              <w:bottom w:w="0" w:type="dxa"/>
              <w:right w:w="108" w:type="dxa"/>
            </w:tcMar>
          </w:tcPr>
          <w:p w:rsidR="00A101B2" w:rsidRPr="006D141E" w:rsidRDefault="00A101B2" w:rsidP="00CC5A3E">
            <w:pPr>
              <w:pStyle w:val="NormalWeb"/>
              <w:spacing w:before="0" w:beforeAutospacing="0" w:after="120" w:afterAutospacing="0" w:line="260" w:lineRule="atLeast"/>
              <w:jc w:val="center"/>
              <w:rPr>
                <w:color w:val="000000"/>
                <w:sz w:val="28"/>
                <w:szCs w:val="28"/>
              </w:rPr>
            </w:pPr>
            <w:r w:rsidRPr="006D141E">
              <w:rPr>
                <w:i/>
                <w:iCs/>
                <w:szCs w:val="28"/>
              </w:rPr>
              <w:br w:type="page"/>
            </w:r>
            <w:r w:rsidRPr="006D141E">
              <w:rPr>
                <w:b/>
                <w:bCs/>
                <w:color w:val="000000"/>
                <w:sz w:val="28"/>
                <w:szCs w:val="28"/>
              </w:rPr>
              <w:t>ỦY BAN NHÂN DÂN</w:t>
            </w:r>
            <w:r w:rsidRPr="006D141E">
              <w:rPr>
                <w:rStyle w:val="apple-converted-space"/>
                <w:b/>
                <w:bCs/>
                <w:color w:val="000000"/>
                <w:sz w:val="28"/>
                <w:szCs w:val="28"/>
              </w:rPr>
              <w:t> </w:t>
            </w:r>
            <w:r w:rsidRPr="006D141E">
              <w:rPr>
                <w:b/>
                <w:bCs/>
                <w:color w:val="000000"/>
                <w:sz w:val="28"/>
                <w:szCs w:val="28"/>
              </w:rPr>
              <w:br/>
              <w:t>TỈNH GIA LAI</w:t>
            </w:r>
            <w:r w:rsidRPr="006D141E">
              <w:rPr>
                <w:b/>
                <w:bCs/>
                <w:color w:val="000000"/>
                <w:sz w:val="28"/>
                <w:szCs w:val="28"/>
              </w:rPr>
              <w:br/>
              <w:t>-------</w:t>
            </w:r>
          </w:p>
        </w:tc>
        <w:tc>
          <w:tcPr>
            <w:tcW w:w="6297" w:type="dxa"/>
            <w:shd w:val="clear" w:color="auto" w:fill="FFFFFF"/>
            <w:tcMar>
              <w:top w:w="0" w:type="dxa"/>
              <w:left w:w="108" w:type="dxa"/>
              <w:bottom w:w="0" w:type="dxa"/>
              <w:right w:w="108" w:type="dxa"/>
            </w:tcMar>
          </w:tcPr>
          <w:p w:rsidR="00A101B2" w:rsidRPr="006D141E" w:rsidRDefault="00A101B2" w:rsidP="00CC5A3E">
            <w:pPr>
              <w:pStyle w:val="NormalWeb"/>
              <w:spacing w:before="0" w:beforeAutospacing="0" w:after="120" w:afterAutospacing="0" w:line="260" w:lineRule="atLeast"/>
              <w:jc w:val="center"/>
              <w:rPr>
                <w:color w:val="000000"/>
                <w:sz w:val="28"/>
                <w:szCs w:val="28"/>
              </w:rPr>
            </w:pPr>
            <w:r w:rsidRPr="006D141E">
              <w:rPr>
                <w:b/>
                <w:bCs/>
                <w:color w:val="000000"/>
                <w:sz w:val="28"/>
                <w:szCs w:val="28"/>
              </w:rPr>
              <w:t>CỘNG HÒA XÃ HỘI CHỦ NGHĨA VIỆT NAM</w:t>
            </w:r>
            <w:r w:rsidRPr="006D141E">
              <w:rPr>
                <w:b/>
                <w:bCs/>
                <w:color w:val="000000"/>
                <w:sz w:val="28"/>
                <w:szCs w:val="28"/>
              </w:rPr>
              <w:br/>
              <w:t>Độc lập - Tự do - Hạnh phúc</w:t>
            </w:r>
            <w:r w:rsidRPr="006D141E">
              <w:rPr>
                <w:b/>
                <w:bCs/>
                <w:color w:val="000000"/>
                <w:sz w:val="28"/>
                <w:szCs w:val="28"/>
              </w:rPr>
              <w:br/>
              <w:t>---------</w:t>
            </w:r>
          </w:p>
        </w:tc>
      </w:tr>
      <w:tr w:rsidR="00A101B2" w:rsidRPr="006D141E" w:rsidTr="00CC5A3E">
        <w:tc>
          <w:tcPr>
            <w:tcW w:w="3348" w:type="dxa"/>
            <w:shd w:val="clear" w:color="auto" w:fill="FFFFFF"/>
            <w:tcMar>
              <w:top w:w="0" w:type="dxa"/>
              <w:left w:w="108" w:type="dxa"/>
              <w:bottom w:w="0" w:type="dxa"/>
              <w:right w:w="108" w:type="dxa"/>
            </w:tcMar>
          </w:tcPr>
          <w:p w:rsidR="00A101B2" w:rsidRPr="006D141E" w:rsidRDefault="00A101B2" w:rsidP="00CC5A3E">
            <w:pPr>
              <w:pStyle w:val="NormalWeb"/>
              <w:spacing w:before="0" w:beforeAutospacing="0" w:after="120" w:afterAutospacing="0" w:line="260" w:lineRule="atLeast"/>
              <w:jc w:val="center"/>
              <w:rPr>
                <w:color w:val="000000"/>
                <w:sz w:val="28"/>
                <w:szCs w:val="28"/>
              </w:rPr>
            </w:pPr>
            <w:r w:rsidRPr="006D141E">
              <w:rPr>
                <w:color w:val="000000"/>
                <w:sz w:val="28"/>
                <w:szCs w:val="28"/>
              </w:rPr>
              <w:t>Số: 30/2010/QĐ-UBND</w:t>
            </w:r>
          </w:p>
        </w:tc>
        <w:tc>
          <w:tcPr>
            <w:tcW w:w="6297" w:type="dxa"/>
            <w:shd w:val="clear" w:color="auto" w:fill="FFFFFF"/>
            <w:tcMar>
              <w:top w:w="0" w:type="dxa"/>
              <w:left w:w="108" w:type="dxa"/>
              <w:bottom w:w="0" w:type="dxa"/>
              <w:right w:w="108" w:type="dxa"/>
            </w:tcMar>
          </w:tcPr>
          <w:p w:rsidR="00A101B2" w:rsidRPr="006D141E" w:rsidRDefault="00A101B2" w:rsidP="00CC5A3E">
            <w:pPr>
              <w:pStyle w:val="NormalWeb"/>
              <w:spacing w:before="0" w:beforeAutospacing="0" w:after="120" w:afterAutospacing="0" w:line="260" w:lineRule="atLeast"/>
              <w:jc w:val="right"/>
              <w:rPr>
                <w:color w:val="000000"/>
                <w:sz w:val="28"/>
                <w:szCs w:val="28"/>
              </w:rPr>
            </w:pPr>
            <w:r w:rsidRPr="006D141E">
              <w:rPr>
                <w:i/>
                <w:iCs/>
                <w:color w:val="000000"/>
                <w:sz w:val="28"/>
                <w:szCs w:val="28"/>
              </w:rPr>
              <w:t>Pleiku, ngày 20 tháng 12 năm 2010</w:t>
            </w:r>
          </w:p>
        </w:tc>
      </w:tr>
    </w:tbl>
    <w:p w:rsidR="00A101B2" w:rsidRPr="006D141E" w:rsidRDefault="00A101B2" w:rsidP="00A101B2">
      <w:pPr>
        <w:pStyle w:val="NormalWeb"/>
        <w:shd w:val="clear" w:color="auto" w:fill="FFFFFF"/>
        <w:spacing w:before="0" w:beforeAutospacing="0" w:after="120" w:afterAutospacing="0" w:line="260" w:lineRule="atLeast"/>
        <w:jc w:val="both"/>
        <w:rPr>
          <w:color w:val="000000"/>
          <w:sz w:val="28"/>
          <w:szCs w:val="28"/>
        </w:rPr>
      </w:pPr>
      <w:r w:rsidRPr="006D141E">
        <w:rPr>
          <w:color w:val="000000"/>
          <w:sz w:val="28"/>
          <w:szCs w:val="28"/>
        </w:rPr>
        <w:t> </w:t>
      </w:r>
    </w:p>
    <w:p w:rsidR="00A101B2" w:rsidRPr="006D141E" w:rsidRDefault="00A101B2" w:rsidP="00A101B2">
      <w:pPr>
        <w:pStyle w:val="NormalWeb"/>
        <w:shd w:val="clear" w:color="auto" w:fill="FFFFFF"/>
        <w:spacing w:before="0" w:beforeAutospacing="0" w:after="0" w:afterAutospacing="0"/>
        <w:jc w:val="center"/>
        <w:rPr>
          <w:color w:val="000000"/>
          <w:sz w:val="28"/>
          <w:szCs w:val="28"/>
        </w:rPr>
      </w:pPr>
      <w:r w:rsidRPr="006D141E">
        <w:rPr>
          <w:b/>
          <w:bCs/>
          <w:color w:val="000000"/>
          <w:sz w:val="28"/>
          <w:szCs w:val="28"/>
        </w:rPr>
        <w:t>QUYẾT ĐỊNH</w:t>
      </w:r>
    </w:p>
    <w:p w:rsidR="00A101B2" w:rsidRPr="006D141E" w:rsidRDefault="00A101B2" w:rsidP="00A101B2">
      <w:pPr>
        <w:pStyle w:val="NormalWeb"/>
        <w:shd w:val="clear" w:color="auto" w:fill="FFFFFF"/>
        <w:spacing w:before="0" w:beforeAutospacing="0" w:after="0" w:afterAutospacing="0"/>
        <w:jc w:val="center"/>
        <w:rPr>
          <w:b/>
          <w:color w:val="000000"/>
          <w:sz w:val="28"/>
          <w:szCs w:val="28"/>
        </w:rPr>
      </w:pPr>
      <w:r w:rsidRPr="006D141E">
        <w:rPr>
          <w:color w:val="000000"/>
          <w:sz w:val="28"/>
          <w:szCs w:val="28"/>
        </w:rPr>
        <w:t> </w:t>
      </w:r>
      <w:r w:rsidRPr="006D141E">
        <w:rPr>
          <w:b/>
          <w:color w:val="000000"/>
          <w:sz w:val="28"/>
          <w:szCs w:val="28"/>
        </w:rPr>
        <w:t xml:space="preserve">V/v ban hành Quy định phân cấp nguồn thu, nhiệm vụ chi và định mức phân bổ dự toán chi ngân sách cho thời kỳ 2011-2015 </w:t>
      </w:r>
    </w:p>
    <w:p w:rsidR="00A101B2" w:rsidRPr="006D141E" w:rsidRDefault="00A101B2" w:rsidP="00A101B2">
      <w:pPr>
        <w:pStyle w:val="NormalWeb"/>
        <w:shd w:val="clear" w:color="auto" w:fill="FFFFFF"/>
        <w:spacing w:before="0" w:beforeAutospacing="0" w:after="0" w:afterAutospacing="0"/>
        <w:jc w:val="center"/>
        <w:rPr>
          <w:b/>
          <w:color w:val="000000"/>
          <w:sz w:val="28"/>
          <w:szCs w:val="28"/>
        </w:rPr>
      </w:pPr>
      <w:r w:rsidRPr="006D141E">
        <w:rPr>
          <w:b/>
          <w:color w:val="000000"/>
          <w:sz w:val="28"/>
          <w:szCs w:val="28"/>
        </w:rPr>
        <w:t>trên địa bàn tỉnh Gia Lai</w:t>
      </w:r>
    </w:p>
    <w:p w:rsidR="00A101B2" w:rsidRPr="006D141E" w:rsidRDefault="00AD4D18" w:rsidP="00A101B2">
      <w:pPr>
        <w:pStyle w:val="NormalWeb"/>
        <w:shd w:val="clear" w:color="auto" w:fill="FFFFFF"/>
        <w:spacing w:before="0" w:beforeAutospacing="0" w:after="0" w:afterAutospacing="0"/>
        <w:jc w:val="center"/>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65pt;margin-top:2.95pt;width:126.75pt;height:0;z-index:251660288" o:connectortype="straight"/>
        </w:pict>
      </w:r>
    </w:p>
    <w:p w:rsidR="00A101B2" w:rsidRPr="006D141E" w:rsidRDefault="00A101B2" w:rsidP="00A101B2">
      <w:pPr>
        <w:pStyle w:val="NormalWeb"/>
        <w:shd w:val="clear" w:color="auto" w:fill="FFFFFF"/>
        <w:spacing w:before="0" w:beforeAutospacing="0" w:after="0" w:afterAutospacing="0"/>
        <w:jc w:val="center"/>
        <w:rPr>
          <w:b/>
          <w:bCs/>
          <w:color w:val="000000"/>
          <w:sz w:val="28"/>
          <w:szCs w:val="28"/>
        </w:rPr>
      </w:pPr>
      <w:r w:rsidRPr="006D141E">
        <w:rPr>
          <w:b/>
          <w:bCs/>
          <w:color w:val="000000"/>
          <w:sz w:val="28"/>
          <w:szCs w:val="28"/>
        </w:rPr>
        <w:t>ỦY BAN NHÂN DÂN TỈNH</w:t>
      </w:r>
    </w:p>
    <w:p w:rsidR="00A101B2" w:rsidRPr="006D141E" w:rsidRDefault="00A101B2" w:rsidP="00A101B2">
      <w:pPr>
        <w:pStyle w:val="NormalWeb"/>
        <w:shd w:val="clear" w:color="auto" w:fill="FFFFFF"/>
        <w:spacing w:before="0" w:beforeAutospacing="0" w:after="0" w:afterAutospacing="0"/>
        <w:jc w:val="center"/>
        <w:rPr>
          <w:color w:val="000000"/>
          <w:sz w:val="28"/>
          <w:szCs w:val="28"/>
        </w:rPr>
      </w:pPr>
    </w:p>
    <w:p w:rsidR="00A101B2" w:rsidRPr="006D141E" w:rsidRDefault="00A101B2" w:rsidP="00A101B2">
      <w:pPr>
        <w:shd w:val="clear" w:color="auto" w:fill="FFFFFF"/>
        <w:ind w:firstLine="720"/>
        <w:jc w:val="both"/>
        <w:rPr>
          <w:rFonts w:ascii="Times New Roman" w:hAnsi="Times New Roman"/>
          <w:iCs/>
          <w:szCs w:val="28"/>
        </w:rPr>
      </w:pPr>
      <w:r w:rsidRPr="006D141E">
        <w:rPr>
          <w:rFonts w:ascii="Times New Roman" w:hAnsi="Times New Roman"/>
          <w:iCs/>
          <w:szCs w:val="28"/>
        </w:rPr>
        <w:t>Căn cứ Luật Tổ chức HĐND và UBND năm 2003;</w:t>
      </w:r>
    </w:p>
    <w:p w:rsidR="00A101B2" w:rsidRPr="006D141E" w:rsidRDefault="00A101B2" w:rsidP="00A101B2">
      <w:pPr>
        <w:shd w:val="clear" w:color="auto" w:fill="FFFFFF"/>
        <w:ind w:firstLine="720"/>
        <w:jc w:val="both"/>
        <w:rPr>
          <w:rFonts w:ascii="Times New Roman" w:hAnsi="Times New Roman"/>
          <w:iCs/>
          <w:szCs w:val="28"/>
        </w:rPr>
      </w:pPr>
      <w:r w:rsidRPr="006D141E">
        <w:rPr>
          <w:rFonts w:ascii="Times New Roman" w:hAnsi="Times New Roman"/>
          <w:iCs/>
          <w:szCs w:val="28"/>
        </w:rPr>
        <w:t>Căn cứ Nghị quyết số 25/2008/NQ-QH12 ngày 14/11/2008 của Quốc hội về việc kéo dài nhiệm kỳ hoạt động 2004 – 2009 của Hội đồng nhân dân và Ủy ban nhân dân các cấp;</w:t>
      </w:r>
    </w:p>
    <w:p w:rsidR="00A101B2" w:rsidRPr="006D141E" w:rsidRDefault="00A101B2" w:rsidP="00A101B2">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 xml:space="preserve">Căn cứ Luật Ngân sách nhà nước số 01/2002/QH11 ngày 21/12/2002; </w:t>
      </w:r>
    </w:p>
    <w:p w:rsidR="00A101B2" w:rsidRPr="006D141E" w:rsidRDefault="00A101B2" w:rsidP="00A101B2">
      <w:pPr>
        <w:shd w:val="clear" w:color="auto" w:fill="FFFFFF"/>
        <w:spacing w:after="120" w:line="260" w:lineRule="atLeast"/>
        <w:ind w:firstLine="720"/>
        <w:jc w:val="both"/>
        <w:rPr>
          <w:rFonts w:ascii="Times New Roman" w:hAnsi="Times New Roman"/>
          <w:iCs/>
          <w:szCs w:val="28"/>
        </w:rPr>
      </w:pPr>
      <w:r w:rsidRPr="006D141E">
        <w:rPr>
          <w:rFonts w:ascii="Times New Roman" w:hAnsi="Times New Roman"/>
          <w:iCs/>
          <w:szCs w:val="28"/>
        </w:rPr>
        <w:t>Căn cứ Nghị định số 60/2003/NĐ-CP ngày 06/6/2003 của Chính phủ quy định chi tiết và hướng dẫn thi hành Luật Ngân sách nhà nước; Thông tư số 59/2003/TT-BTC ngày 23/6/2009 của Bộ Tài chính hướng dẫn thực hiện Nghị định số 60/2003/NĐ-CP ngày 06/6/2003 của Chính phủ quy định chi tiết và hướng dẫn thi hành Luật Ngân sách nhà nước;</w:t>
      </w:r>
    </w:p>
    <w:p w:rsidR="00A101B2" w:rsidRPr="006D141E" w:rsidRDefault="00A101B2" w:rsidP="00A101B2">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Căn cứ Quyết định số 59/2010/QĐ-TTg ngày 30/9/2010 của Thủ tướng Chính phủ về ban hành định mức phân bổ dự toán chi thường xuyên ngân sách nhà nước năm 2011 và các chế độ chính sách của nhà nước;</w:t>
      </w:r>
    </w:p>
    <w:p w:rsidR="00A101B2" w:rsidRPr="006D141E" w:rsidRDefault="00A101B2" w:rsidP="00A101B2">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Căn cứ Nghị quyết số 19/2010/NQ-HĐND ngày 09/12/2010 của Hội đồng nhân dân tỉnh khóa IX kỳ họp thứ 21 về việc thông qua Quy định phân cấp nguồn thu, nhiệm vụ chi và định mức phân bổ dự toán chi ngân sách cho thời kỳ 2011-2015 trên địa bàn tỉnh Gia Lai;</w:t>
      </w:r>
    </w:p>
    <w:p w:rsidR="00A101B2" w:rsidRPr="006D141E" w:rsidRDefault="00A101B2" w:rsidP="00A101B2">
      <w:pPr>
        <w:shd w:val="clear" w:color="auto" w:fill="FFFFFF"/>
        <w:spacing w:after="120" w:line="260" w:lineRule="atLeast"/>
        <w:jc w:val="both"/>
        <w:rPr>
          <w:rFonts w:ascii="Times New Roman" w:hAnsi="Times New Roman"/>
          <w:iCs/>
          <w:szCs w:val="28"/>
        </w:rPr>
      </w:pPr>
      <w:r w:rsidRPr="006D141E">
        <w:rPr>
          <w:rFonts w:ascii="Times New Roman" w:hAnsi="Times New Roman"/>
          <w:iCs/>
          <w:szCs w:val="28"/>
        </w:rPr>
        <w:tab/>
        <w:t>Xét đề nghị của Giám đốc Sở Tài chính,</w:t>
      </w:r>
    </w:p>
    <w:p w:rsidR="00A101B2" w:rsidRPr="006D141E" w:rsidRDefault="00A101B2" w:rsidP="00A101B2">
      <w:pPr>
        <w:shd w:val="clear" w:color="auto" w:fill="FFFFFF"/>
        <w:spacing w:after="120" w:line="260" w:lineRule="atLeast"/>
        <w:jc w:val="both"/>
        <w:rPr>
          <w:rFonts w:ascii="Times New Roman" w:hAnsi="Times New Roman"/>
          <w:iCs/>
          <w:szCs w:val="28"/>
        </w:rPr>
      </w:pPr>
    </w:p>
    <w:p w:rsidR="00A101B2" w:rsidRPr="006D141E" w:rsidRDefault="00A101B2" w:rsidP="00A101B2">
      <w:pPr>
        <w:pStyle w:val="NormalWeb"/>
        <w:shd w:val="clear" w:color="auto" w:fill="FFFFFF"/>
        <w:spacing w:before="0" w:beforeAutospacing="0" w:after="0" w:afterAutospacing="0"/>
        <w:jc w:val="center"/>
        <w:rPr>
          <w:b/>
          <w:bCs/>
          <w:color w:val="000000"/>
          <w:sz w:val="28"/>
          <w:szCs w:val="28"/>
        </w:rPr>
      </w:pPr>
      <w:r w:rsidRPr="006D141E">
        <w:rPr>
          <w:b/>
          <w:bCs/>
          <w:color w:val="000000"/>
          <w:sz w:val="28"/>
          <w:szCs w:val="28"/>
        </w:rPr>
        <w:t>QUYẾT ĐỊNH:</w:t>
      </w:r>
    </w:p>
    <w:p w:rsidR="00A101B2" w:rsidRPr="006D141E" w:rsidRDefault="00A101B2" w:rsidP="00A101B2">
      <w:pPr>
        <w:pStyle w:val="NormalWeb"/>
        <w:shd w:val="clear" w:color="auto" w:fill="FFFFFF"/>
        <w:spacing w:before="0" w:beforeAutospacing="0" w:after="0" w:afterAutospacing="0"/>
        <w:jc w:val="both"/>
        <w:rPr>
          <w:color w:val="000000"/>
          <w:sz w:val="28"/>
          <w:szCs w:val="28"/>
        </w:rPr>
      </w:pPr>
    </w:p>
    <w:p w:rsidR="00A101B2" w:rsidRPr="006D141E" w:rsidRDefault="00A101B2" w:rsidP="00A101B2">
      <w:pPr>
        <w:pStyle w:val="NormalWeb"/>
        <w:shd w:val="clear" w:color="auto" w:fill="FFFFFF"/>
        <w:spacing w:before="0" w:beforeAutospacing="0" w:after="0" w:afterAutospacing="0"/>
        <w:jc w:val="both"/>
        <w:rPr>
          <w:iCs/>
          <w:sz w:val="28"/>
          <w:szCs w:val="28"/>
        </w:rPr>
      </w:pPr>
      <w:r w:rsidRPr="006D141E">
        <w:rPr>
          <w:color w:val="000000"/>
          <w:sz w:val="28"/>
          <w:szCs w:val="28"/>
        </w:rPr>
        <w:tab/>
      </w:r>
      <w:r w:rsidRPr="006D141E">
        <w:rPr>
          <w:b/>
          <w:color w:val="000000"/>
          <w:sz w:val="28"/>
          <w:szCs w:val="28"/>
        </w:rPr>
        <w:t>Điều 1.</w:t>
      </w:r>
      <w:r w:rsidRPr="006D141E">
        <w:rPr>
          <w:color w:val="000000"/>
          <w:sz w:val="28"/>
          <w:szCs w:val="28"/>
        </w:rPr>
        <w:t xml:space="preserve"> Ban hành kèm theo Quyết định này </w:t>
      </w:r>
      <w:r w:rsidRPr="006D141E">
        <w:rPr>
          <w:iCs/>
          <w:sz w:val="28"/>
          <w:szCs w:val="28"/>
        </w:rPr>
        <w:t>Quy định phân cấp nguồn thu, nhiệm vụ chi và định mức phân bổ dự toán chi ngân sách cho thời kỳ 2011-2015 trên địa bàn tỉnh Gia Lai.</w:t>
      </w:r>
    </w:p>
    <w:p w:rsidR="00A101B2" w:rsidRPr="006D141E" w:rsidRDefault="00A101B2" w:rsidP="00A101B2">
      <w:pPr>
        <w:pStyle w:val="NormalWeb"/>
        <w:shd w:val="clear" w:color="auto" w:fill="FFFFFF"/>
        <w:spacing w:before="0" w:beforeAutospacing="0" w:after="0" w:afterAutospacing="0"/>
        <w:jc w:val="center"/>
        <w:rPr>
          <w:iCs/>
          <w:sz w:val="28"/>
          <w:szCs w:val="28"/>
        </w:rPr>
      </w:pPr>
      <w:r w:rsidRPr="006D141E">
        <w:rPr>
          <w:iCs/>
          <w:sz w:val="28"/>
          <w:szCs w:val="28"/>
        </w:rPr>
        <w:t>(Có Quy định chi tiết đính kèm)</w:t>
      </w:r>
    </w:p>
    <w:p w:rsidR="00A101B2" w:rsidRPr="006D141E" w:rsidRDefault="00A101B2" w:rsidP="00A101B2">
      <w:pPr>
        <w:pStyle w:val="NormalWeb"/>
        <w:shd w:val="clear" w:color="auto" w:fill="FFFFFF"/>
        <w:spacing w:before="0" w:beforeAutospacing="0" w:after="0" w:afterAutospacing="0"/>
        <w:jc w:val="center"/>
        <w:rPr>
          <w:color w:val="000000"/>
          <w:sz w:val="28"/>
          <w:szCs w:val="28"/>
        </w:rPr>
      </w:pPr>
    </w:p>
    <w:p w:rsidR="00A101B2" w:rsidRPr="006D141E" w:rsidRDefault="00A101B2" w:rsidP="00A101B2">
      <w:pPr>
        <w:pStyle w:val="NormalWeb"/>
        <w:shd w:val="clear" w:color="auto" w:fill="FFFFFF"/>
        <w:spacing w:before="0" w:beforeAutospacing="0" w:after="0" w:afterAutospacing="0"/>
        <w:jc w:val="both"/>
        <w:rPr>
          <w:color w:val="000000"/>
          <w:sz w:val="28"/>
          <w:szCs w:val="28"/>
        </w:rPr>
      </w:pPr>
      <w:r w:rsidRPr="006D141E">
        <w:rPr>
          <w:color w:val="000000"/>
          <w:sz w:val="28"/>
          <w:szCs w:val="28"/>
        </w:rPr>
        <w:lastRenderedPageBreak/>
        <w:tab/>
      </w:r>
      <w:r w:rsidRPr="006D141E">
        <w:rPr>
          <w:b/>
          <w:color w:val="000000"/>
          <w:sz w:val="28"/>
          <w:szCs w:val="28"/>
        </w:rPr>
        <w:t>Điều 2.</w:t>
      </w:r>
      <w:r w:rsidRPr="006D141E">
        <w:rPr>
          <w:color w:val="000000"/>
          <w:sz w:val="28"/>
          <w:szCs w:val="28"/>
        </w:rPr>
        <w:t xml:space="preserve"> </w:t>
      </w:r>
      <w:r>
        <w:rPr>
          <w:color w:val="000000"/>
          <w:sz w:val="28"/>
          <w:szCs w:val="28"/>
        </w:rPr>
        <w:t xml:space="preserve"> </w:t>
      </w:r>
      <w:r w:rsidRPr="006D141E">
        <w:rPr>
          <w:color w:val="000000"/>
          <w:sz w:val="28"/>
          <w:szCs w:val="28"/>
        </w:rPr>
        <w:t>- Căn cứ Quy định này, Thủ trưởng các sở, ngành cấp tỉnh, Chủ tịch UBND các huyện, thị xã, thành phố tiến hành xây dựng dự toán thu  - chi ngân sách hàng năm đảm bảo cân đối và hoàn thành nhiệm vụ được giao.</w:t>
      </w:r>
    </w:p>
    <w:p w:rsidR="00A101B2" w:rsidRPr="006D141E" w:rsidRDefault="00A101B2" w:rsidP="00A101B2">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 Định mức phân bổ dự toán chi thường xuyên ngân sách nhà nước ban hành kèm theo Quyết định này là cơ sở để xây dựng dự toán chi ngân sách của từng sở, ngành, địa phương. Định mức phân bổ ngân sách đã bao gồm toàn bộ tiền lương, theo mức lương tối thiểu 730.000 đồng.</w:t>
      </w:r>
    </w:p>
    <w:p w:rsidR="00A101B2" w:rsidRPr="006D141E" w:rsidRDefault="00A101B2" w:rsidP="00A101B2">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 Định mức phân bổ chi ngân sách các huyện, thị xã, thành phố đã bao gồm chi ngân sách cấp huyện và ngân sách cấp xã. Các định mức này mang tính chất tạo nguồn cho ngân sách huyện, không phải là định mức chi tiêu ngân sách. Căn cứ tổng nguồn được phân bổ, khả năng tài chính – ngân sách và đặc điểm tình hình ở địa phương, UBND các huyện, thị xã, thành phố trình HĐND cùng cấp ban hành định mức phân bổ cụ thể cho từng lĩnh vực chi, từng cấp ngân sách để làm căn cứ xây dựng dự toán và phân bổ ngân sách ở địa phương năm 2011, năm đầu thời kỳ ổn định ngân sách mới. Đối với khoản chi sự nghiệp giáo dục – đào tạo, dạy nghề và khoa học công nghệ, địa phương xây dựng không được thấp hơn so với tỉnh giao. Định mức phân bổ dự toán chi của huyện, thị xã, thành phố được gửi về Sở Tài chính tổng hợp, báo cáo UBND tỉnh.</w:t>
      </w:r>
    </w:p>
    <w:p w:rsidR="00A101B2" w:rsidRPr="006D141E" w:rsidRDefault="00A101B2" w:rsidP="00A101B2">
      <w:pPr>
        <w:pStyle w:val="NormalWeb"/>
        <w:shd w:val="clear" w:color="auto" w:fill="FFFFFF"/>
        <w:spacing w:before="0" w:beforeAutospacing="0" w:after="0" w:afterAutospacing="0"/>
        <w:ind w:firstLine="720"/>
        <w:jc w:val="both"/>
        <w:rPr>
          <w:color w:val="000000"/>
          <w:sz w:val="28"/>
          <w:szCs w:val="28"/>
        </w:rPr>
      </w:pPr>
      <w:r w:rsidRPr="006D141E">
        <w:rPr>
          <w:b/>
          <w:color w:val="000000"/>
          <w:sz w:val="28"/>
          <w:szCs w:val="28"/>
        </w:rPr>
        <w:t>Điều 3.</w:t>
      </w:r>
      <w:r w:rsidRPr="006D141E">
        <w:rPr>
          <w:color w:val="000000"/>
          <w:sz w:val="28"/>
          <w:szCs w:val="28"/>
        </w:rPr>
        <w:t xml:space="preserve"> Quyết định này có hiệu lực thi hành sau 10 ngày kể từ ngày ký, thực hiện trong năm ngân sách 2011 và thời kỳ ổn định mới 2011-2015 theo Luật Ngân sách nhà nước. Quá trình thực hiện nếu có vướng mắc và khi Trung ương có các quy định mới, Ủy ban nhân dân tỉnh sẽ trình Hội đồng nhân dân tỉnh điều chỉnh lại cho phù hợp.</w:t>
      </w:r>
    </w:p>
    <w:p w:rsidR="00A101B2" w:rsidRPr="006D141E" w:rsidRDefault="00A101B2" w:rsidP="00A101B2">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Quyết định này thay thế Quyết định số 85/2006/QĐ-UBND ngày 19/10/2006 của UBND tỉnh về việc phân cấp nguồn thu, nhiệm vụ chi và định mức phân bổ dự toán ngân sách cho thời kỳ 2007-2010.</w:t>
      </w:r>
    </w:p>
    <w:p w:rsidR="00A101B2" w:rsidRPr="006D141E" w:rsidRDefault="00A101B2" w:rsidP="00A101B2">
      <w:pPr>
        <w:pStyle w:val="NormalWeb"/>
        <w:shd w:val="clear" w:color="auto" w:fill="FFFFFF"/>
        <w:spacing w:before="0" w:beforeAutospacing="0" w:after="0" w:afterAutospacing="0"/>
        <w:jc w:val="both"/>
        <w:rPr>
          <w:color w:val="000000"/>
          <w:sz w:val="28"/>
          <w:szCs w:val="28"/>
        </w:rPr>
      </w:pPr>
      <w:r w:rsidRPr="006D141E">
        <w:rPr>
          <w:color w:val="000000"/>
          <w:sz w:val="28"/>
          <w:szCs w:val="28"/>
        </w:rPr>
        <w:tab/>
        <w:t>Chánh Văn phòng Ủy ban nhân dân tỉnh, Giám đốc các Sở: Tài chính, Kế hoạch và Đầu tư; Thủ trưởng các sở, ngành; Chủ tịch Ủy ban nhân dân các huyện, thị xã, thành phố; Cục trưởng Cục Thuế, Giám đốc Kho bạc Nhà nước tỉnh và các cơ quan có liên quan chịu trách nhiệm thi hành Quyết định này./.</w:t>
      </w:r>
    </w:p>
    <w:p w:rsidR="00A101B2" w:rsidRPr="006D141E" w:rsidRDefault="00A101B2" w:rsidP="00A101B2">
      <w:pPr>
        <w:pStyle w:val="NormalWeb"/>
        <w:shd w:val="clear" w:color="auto" w:fill="FFFFFF"/>
        <w:spacing w:before="0" w:beforeAutospacing="0" w:after="0" w:afterAutospacing="0"/>
        <w:jc w:val="both"/>
        <w:rPr>
          <w:color w:val="000000"/>
          <w:sz w:val="28"/>
          <w:szCs w:val="28"/>
        </w:rPr>
      </w:pPr>
    </w:p>
    <w:tbl>
      <w:tblPr>
        <w:tblW w:w="0" w:type="auto"/>
        <w:tblLook w:val="01E0"/>
      </w:tblPr>
      <w:tblGrid>
        <w:gridCol w:w="4799"/>
        <w:gridCol w:w="4822"/>
      </w:tblGrid>
      <w:tr w:rsidR="00A101B2" w:rsidRPr="006D141E" w:rsidTr="00CC5A3E">
        <w:tc>
          <w:tcPr>
            <w:tcW w:w="4928" w:type="dxa"/>
          </w:tcPr>
          <w:p w:rsidR="00A101B2" w:rsidRPr="006D141E" w:rsidRDefault="00A101B2" w:rsidP="00CC5A3E">
            <w:pPr>
              <w:pStyle w:val="NormalWeb"/>
              <w:spacing w:before="0" w:beforeAutospacing="0" w:after="0" w:afterAutospacing="0"/>
              <w:jc w:val="both"/>
              <w:rPr>
                <w:color w:val="000000"/>
                <w:sz w:val="28"/>
                <w:szCs w:val="28"/>
              </w:rPr>
            </w:pPr>
          </w:p>
        </w:tc>
        <w:tc>
          <w:tcPr>
            <w:tcW w:w="4928" w:type="dxa"/>
          </w:tcPr>
          <w:p w:rsidR="00A101B2" w:rsidRPr="006D141E" w:rsidRDefault="00A101B2" w:rsidP="00CC5A3E">
            <w:pPr>
              <w:pStyle w:val="NormalWeb"/>
              <w:spacing w:before="0" w:beforeAutospacing="0" w:after="0" w:afterAutospacing="0"/>
              <w:jc w:val="center"/>
              <w:rPr>
                <w:b/>
                <w:color w:val="000000"/>
                <w:sz w:val="28"/>
                <w:szCs w:val="28"/>
              </w:rPr>
            </w:pPr>
            <w:r w:rsidRPr="006D141E">
              <w:rPr>
                <w:b/>
                <w:color w:val="000000"/>
                <w:sz w:val="28"/>
                <w:szCs w:val="28"/>
              </w:rPr>
              <w:t>TM. ỦY BAN NHÂN DÂN TỈNH</w:t>
            </w:r>
          </w:p>
          <w:p w:rsidR="00A101B2" w:rsidRPr="006D141E" w:rsidRDefault="00A101B2" w:rsidP="00CC5A3E">
            <w:pPr>
              <w:pStyle w:val="NormalWeb"/>
              <w:spacing w:before="0" w:beforeAutospacing="0" w:after="0" w:afterAutospacing="0"/>
              <w:jc w:val="center"/>
              <w:rPr>
                <w:b/>
                <w:color w:val="000000"/>
                <w:sz w:val="28"/>
                <w:szCs w:val="28"/>
              </w:rPr>
            </w:pPr>
            <w:r w:rsidRPr="006D141E">
              <w:rPr>
                <w:b/>
                <w:color w:val="000000"/>
                <w:sz w:val="28"/>
                <w:szCs w:val="28"/>
              </w:rPr>
              <w:t>CHỦ TỊCH</w:t>
            </w:r>
          </w:p>
          <w:p w:rsidR="00A101B2" w:rsidRPr="006D141E" w:rsidRDefault="00A101B2" w:rsidP="00CC5A3E">
            <w:pPr>
              <w:pStyle w:val="NormalWeb"/>
              <w:spacing w:before="0" w:beforeAutospacing="0" w:after="0" w:afterAutospacing="0"/>
              <w:jc w:val="center"/>
              <w:rPr>
                <w:color w:val="000000"/>
                <w:sz w:val="28"/>
                <w:szCs w:val="28"/>
              </w:rPr>
            </w:pPr>
            <w:r w:rsidRPr="006D141E">
              <w:rPr>
                <w:color w:val="000000"/>
                <w:sz w:val="28"/>
                <w:szCs w:val="28"/>
              </w:rPr>
              <w:t>(Đã ký)</w:t>
            </w:r>
          </w:p>
          <w:p w:rsidR="00A101B2" w:rsidRPr="006D141E" w:rsidRDefault="00A101B2" w:rsidP="00CC5A3E">
            <w:pPr>
              <w:pStyle w:val="NormalWeb"/>
              <w:spacing w:before="0" w:beforeAutospacing="0" w:after="0" w:afterAutospacing="0"/>
              <w:jc w:val="center"/>
              <w:rPr>
                <w:color w:val="000000"/>
                <w:sz w:val="28"/>
                <w:szCs w:val="28"/>
              </w:rPr>
            </w:pPr>
            <w:r w:rsidRPr="006D141E">
              <w:rPr>
                <w:b/>
                <w:color w:val="000000"/>
                <w:sz w:val="28"/>
                <w:szCs w:val="28"/>
              </w:rPr>
              <w:t>Phạm Thế Dũng</w:t>
            </w:r>
          </w:p>
        </w:tc>
      </w:tr>
    </w:tbl>
    <w:p w:rsidR="00A101B2" w:rsidRPr="006D141E" w:rsidRDefault="00A101B2" w:rsidP="00A101B2">
      <w:pPr>
        <w:shd w:val="clear" w:color="auto" w:fill="FFFFFF"/>
        <w:spacing w:after="120" w:line="260" w:lineRule="atLeast"/>
        <w:jc w:val="both"/>
        <w:rPr>
          <w:rFonts w:ascii="Times New Roman" w:hAnsi="Times New Roman"/>
          <w:szCs w:val="28"/>
        </w:rPr>
      </w:pPr>
      <w:r w:rsidRPr="006D141E">
        <w:rPr>
          <w:rFonts w:ascii="Times New Roman" w:hAnsi="Times New Roman"/>
          <w:i/>
          <w:iCs/>
          <w:szCs w:val="28"/>
        </w:rPr>
        <w:br/>
      </w:r>
    </w:p>
    <w:p w:rsidR="00FB15F0" w:rsidRDefault="00FB15F0"/>
    <w:sectPr w:rsidR="00FB15F0" w:rsidSect="002B7234">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2">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A101B2"/>
    <w:rsid w:val="002B7234"/>
    <w:rsid w:val="00666B1B"/>
    <w:rsid w:val="00A101B2"/>
    <w:rsid w:val="00AD4D18"/>
    <w:rsid w:val="00CD14AA"/>
    <w:rsid w:val="00FB1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B2"/>
    <w:pPr>
      <w:spacing w:after="0" w:line="240" w:lineRule="auto"/>
    </w:pPr>
    <w:rPr>
      <w:rFonts w:ascii="VnTimes2" w:eastAsia="Times New Roman" w:hAnsi="VnTimes2" w:cs="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A101B2"/>
    <w:pPr>
      <w:spacing w:before="100" w:beforeAutospacing="1" w:after="100" w:afterAutospacing="1"/>
    </w:pPr>
    <w:rPr>
      <w:rFonts w:ascii="Times New Roman" w:hAnsi="Times New Roman"/>
      <w:color w:val="auto"/>
      <w:sz w:val="24"/>
      <w:szCs w:val="24"/>
    </w:rPr>
  </w:style>
  <w:style w:type="character" w:customStyle="1" w:styleId="NormalWebChar1">
    <w:name w:val="Normal (Web) Char1"/>
    <w:aliases w:val="Normal (Web) Char Char"/>
    <w:basedOn w:val="DefaultParagraphFont"/>
    <w:link w:val="NormalWeb"/>
    <w:rsid w:val="00A101B2"/>
    <w:rPr>
      <w:rFonts w:ascii="Times New Roman" w:eastAsia="Times New Roman" w:hAnsi="Times New Roman" w:cs="Times New Roman"/>
      <w:sz w:val="24"/>
      <w:szCs w:val="24"/>
    </w:rPr>
  </w:style>
  <w:style w:type="character" w:customStyle="1" w:styleId="apple-converted-space">
    <w:name w:val="apple-converted-space"/>
    <w:basedOn w:val="DefaultParagraphFont"/>
    <w:rsid w:val="00A101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47723-9E0B-4886-B9F1-9FAD1D4351FD}"/>
</file>

<file path=customXml/itemProps2.xml><?xml version="1.0" encoding="utf-8"?>
<ds:datastoreItem xmlns:ds="http://schemas.openxmlformats.org/officeDocument/2006/customXml" ds:itemID="{BD831A07-DF63-46E7-9F8E-50102501BB04}"/>
</file>

<file path=customXml/itemProps3.xml><?xml version="1.0" encoding="utf-8"?>
<ds:datastoreItem xmlns:ds="http://schemas.openxmlformats.org/officeDocument/2006/customXml" ds:itemID="{734B44A7-8C4B-43C8-9626-55911C7ADABD}"/>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2017-01-09T07:05:00Z</dcterms:created>
  <dcterms:modified xsi:type="dcterms:W3CDTF">2017-01-09T07:05:00Z</dcterms:modified>
</cp:coreProperties>
</file>