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74" w:rsidRDefault="00F02C74" w:rsidP="00F02C74">
      <w:pPr>
        <w:rPr>
          <w:b/>
          <w:bCs/>
          <w:sz w:val="26"/>
          <w:szCs w:val="26"/>
        </w:rPr>
      </w:pPr>
      <w:r>
        <w:rPr>
          <w:b/>
          <w:bCs/>
          <w:sz w:val="26"/>
          <w:szCs w:val="26"/>
        </w:rPr>
        <w:t xml:space="preserve">UỶ BAN NHÂN DÂN                    CỘNG HOÀ XÃ HỘI CHỦ NGHĨA VIỆT </w:t>
      </w:r>
      <w:smartTag w:uri="urn:schemas-microsoft-com:office:smarttags" w:element="country-region">
        <w:smartTag w:uri="urn:schemas-microsoft-com:office:smarttags" w:element="place">
          <w:r>
            <w:rPr>
              <w:b/>
              <w:bCs/>
              <w:sz w:val="26"/>
              <w:szCs w:val="26"/>
            </w:rPr>
            <w:t>NAM</w:t>
          </w:r>
        </w:smartTag>
      </w:smartTag>
    </w:p>
    <w:p w:rsidR="00F02C74" w:rsidRDefault="00F02C74" w:rsidP="00F02C74">
      <w:pPr>
        <w:rPr>
          <w:b/>
          <w:bCs/>
          <w:sz w:val="26"/>
          <w:szCs w:val="26"/>
        </w:rPr>
      </w:pPr>
      <w:r>
        <w:rPr>
          <w:b/>
          <w:bCs/>
          <w:sz w:val="26"/>
          <w:szCs w:val="26"/>
        </w:rPr>
        <w:t xml:space="preserve">    TỈNH GIA LAI                                                Độc lập - Tự do - Hạnh phúc</w:t>
      </w:r>
    </w:p>
    <w:p w:rsidR="00F02C74" w:rsidRDefault="00807CB9" w:rsidP="00F02C74">
      <w:r>
        <w:pict>
          <v:line id="_x0000_s1045" style="position:absolute;z-index:251660288" from="25.05pt,1.25pt" to="85.65pt,1.25pt"/>
        </w:pict>
      </w:r>
      <w:r>
        <w:pict>
          <v:line id="_x0000_s1046" style="position:absolute;z-index:251661312" from="258.75pt,2.25pt" to="410.25pt,2.25pt"/>
        </w:pict>
      </w:r>
    </w:p>
    <w:p w:rsidR="00F02C74" w:rsidRDefault="00F02C74" w:rsidP="00F02C74">
      <w:pPr>
        <w:rPr>
          <w:sz w:val="26"/>
          <w:szCs w:val="26"/>
        </w:rPr>
      </w:pPr>
      <w:r>
        <w:rPr>
          <w:sz w:val="26"/>
          <w:szCs w:val="26"/>
        </w:rPr>
        <w:t xml:space="preserve">Số:  34/2011/QĐ-UBND                                </w:t>
      </w:r>
      <w:r>
        <w:rPr>
          <w:i/>
          <w:iCs/>
          <w:sz w:val="26"/>
          <w:szCs w:val="26"/>
        </w:rPr>
        <w:t>Gia Lai, ngày  26   tháng  11 năm 2011</w:t>
      </w:r>
    </w:p>
    <w:p w:rsidR="00F02C74" w:rsidRDefault="00F02C74" w:rsidP="00F02C74">
      <w:pPr>
        <w:ind w:firstLine="567"/>
        <w:jc w:val="center"/>
        <w:rPr>
          <w:b/>
          <w:sz w:val="28"/>
          <w:szCs w:val="28"/>
        </w:rPr>
      </w:pPr>
    </w:p>
    <w:p w:rsidR="00F02C74" w:rsidRDefault="00F02C74" w:rsidP="00F02C74">
      <w:pPr>
        <w:ind w:firstLine="567"/>
        <w:jc w:val="center"/>
        <w:rPr>
          <w:b/>
          <w:sz w:val="28"/>
          <w:szCs w:val="28"/>
        </w:rPr>
      </w:pPr>
      <w:r>
        <w:rPr>
          <w:b/>
          <w:sz w:val="28"/>
          <w:szCs w:val="28"/>
        </w:rPr>
        <w:t>QUYẾT ĐỊNH</w:t>
      </w:r>
    </w:p>
    <w:p w:rsidR="00F02C74" w:rsidRDefault="00F02C74" w:rsidP="00F02C74">
      <w:pPr>
        <w:ind w:firstLine="567"/>
        <w:jc w:val="center"/>
        <w:rPr>
          <w:b/>
          <w:sz w:val="26"/>
          <w:szCs w:val="26"/>
        </w:rPr>
      </w:pPr>
      <w:r>
        <w:rPr>
          <w:b/>
          <w:sz w:val="26"/>
          <w:szCs w:val="26"/>
        </w:rPr>
        <w:t>Về việc ban hành bộ đơn giá: Đo đạc, lập bản đồ địa chính; Đăng ký thống kê, lập hồ sơ địa chính, cấp giấy chứng nhận quyền sử dụng đất, quyền sở hữu nhà ở và tài sản khác gắn liền với đất; Xây dựng cơ sở dữ liệu tài nguyên môi trường</w:t>
      </w:r>
    </w:p>
    <w:p w:rsidR="00D624F8" w:rsidRDefault="00D624F8" w:rsidP="00F02C74">
      <w:pPr>
        <w:ind w:firstLine="567"/>
        <w:jc w:val="center"/>
        <w:rPr>
          <w:b/>
          <w:sz w:val="26"/>
          <w:szCs w:val="26"/>
        </w:rPr>
      </w:pPr>
      <w:r>
        <w:rPr>
          <w:b/>
          <w:sz w:val="26"/>
          <w:szCs w:val="26"/>
        </w:rPr>
        <w:t>________________________</w:t>
      </w:r>
    </w:p>
    <w:p w:rsidR="00F02C74" w:rsidRDefault="00F02C74" w:rsidP="00F02C74">
      <w:pPr>
        <w:ind w:firstLine="567"/>
        <w:jc w:val="center"/>
        <w:rPr>
          <w:b/>
          <w:sz w:val="28"/>
          <w:szCs w:val="28"/>
        </w:rPr>
      </w:pPr>
    </w:p>
    <w:p w:rsidR="00F02C74" w:rsidRDefault="00F02C74" w:rsidP="00F02C74">
      <w:pPr>
        <w:ind w:firstLine="567"/>
        <w:jc w:val="center"/>
        <w:rPr>
          <w:sz w:val="28"/>
          <w:szCs w:val="28"/>
        </w:rPr>
      </w:pPr>
      <w:r>
        <w:rPr>
          <w:b/>
          <w:sz w:val="28"/>
          <w:szCs w:val="28"/>
        </w:rPr>
        <w:t>ỦY BAN NHÂN DÂN TỈNH</w:t>
      </w:r>
    </w:p>
    <w:p w:rsidR="00F02C74" w:rsidRDefault="00F02C74" w:rsidP="00F02C74">
      <w:pPr>
        <w:ind w:firstLine="567"/>
        <w:jc w:val="both"/>
        <w:rPr>
          <w:sz w:val="28"/>
          <w:szCs w:val="28"/>
        </w:rPr>
      </w:pPr>
    </w:p>
    <w:p w:rsidR="00F02C74" w:rsidRDefault="00F02C74" w:rsidP="00F02C74">
      <w:pPr>
        <w:ind w:firstLine="567"/>
        <w:jc w:val="both"/>
        <w:rPr>
          <w:sz w:val="28"/>
          <w:szCs w:val="28"/>
        </w:rPr>
      </w:pPr>
      <w:r>
        <w:rPr>
          <w:sz w:val="28"/>
          <w:szCs w:val="28"/>
        </w:rPr>
        <w:tab/>
        <w:t>Căn cứ Luật Tổ chức HĐND và UBND năm 2003;</w:t>
      </w:r>
    </w:p>
    <w:p w:rsidR="00F02C74" w:rsidRDefault="00F02C74" w:rsidP="00F02C74">
      <w:pPr>
        <w:ind w:firstLine="720"/>
        <w:jc w:val="both"/>
        <w:rPr>
          <w:sz w:val="28"/>
          <w:szCs w:val="28"/>
        </w:rPr>
      </w:pPr>
      <w:r>
        <w:rPr>
          <w:sz w:val="28"/>
          <w:szCs w:val="28"/>
        </w:rPr>
        <w:t>Căn cứ Nghị định số 28/2010/NĐ-CP ngày 25/3/2010 của Chính phủ về quy định mức lương tối thiểu chung;</w:t>
      </w:r>
    </w:p>
    <w:p w:rsidR="00F02C74" w:rsidRDefault="00F02C74" w:rsidP="00F02C74">
      <w:pPr>
        <w:ind w:firstLine="720"/>
        <w:jc w:val="both"/>
        <w:rPr>
          <w:sz w:val="28"/>
          <w:szCs w:val="28"/>
        </w:rPr>
      </w:pPr>
      <w:r>
        <w:rPr>
          <w:sz w:val="28"/>
          <w:szCs w:val="28"/>
        </w:rPr>
        <w:t>Căn cứ Thông tư liên tịch số 04/2007/TTLT-BTNMT-BTC ngày 27/2/2007 của Bộ Tài nguyên và Môi trường và Bộ Tài chính hướng dẫn lập dự toán kinh phí đo đạc bản đồ và quản lý đất đai;</w:t>
      </w:r>
    </w:p>
    <w:p w:rsidR="00F02C74" w:rsidRDefault="00F02C74" w:rsidP="00F02C74">
      <w:pPr>
        <w:ind w:firstLine="720"/>
        <w:jc w:val="both"/>
        <w:rPr>
          <w:sz w:val="28"/>
          <w:szCs w:val="28"/>
        </w:rPr>
      </w:pPr>
      <w:r>
        <w:rPr>
          <w:sz w:val="28"/>
          <w:szCs w:val="28"/>
        </w:rPr>
        <w:t>Căn cứ Quyết định số 10/2008/QĐ-BTNMT ngày 18/12/2008 của Bộ trưởng Bộ Tài nguyên và Môi trường về việc ban hành Định mức kinh tế - kỹ thuật đo đạc lập bản đồ địa chính, đăng ký quyền sử dụng đất, lập hồ sơ địa chính, cấp Giấy chứng nhận quyền sử dụng đất;</w:t>
      </w:r>
    </w:p>
    <w:p w:rsidR="00F02C74" w:rsidRDefault="00F02C74" w:rsidP="00F02C74">
      <w:pPr>
        <w:ind w:firstLine="720"/>
        <w:jc w:val="both"/>
        <w:rPr>
          <w:sz w:val="28"/>
          <w:szCs w:val="28"/>
        </w:rPr>
      </w:pPr>
      <w:r>
        <w:rPr>
          <w:sz w:val="28"/>
          <w:szCs w:val="28"/>
        </w:rPr>
        <w:t>Căn cứ Quyết định số 1166/QĐ-BTNMT ngày 17/6/2011 của Bộ Tài nguyên và Môi trường ban hành bộ đơn giá xây dựng cơ sở dữ liệu và xây dựng phần mềm hỗ trợ việc xây dựng cơ sở dữ liệu tài nguyên môi trường;</w:t>
      </w:r>
    </w:p>
    <w:p w:rsidR="00F02C74" w:rsidRDefault="00F02C74" w:rsidP="00F02C74">
      <w:pPr>
        <w:ind w:firstLine="720"/>
        <w:jc w:val="both"/>
        <w:rPr>
          <w:sz w:val="28"/>
          <w:szCs w:val="28"/>
        </w:rPr>
      </w:pPr>
      <w:r>
        <w:rPr>
          <w:sz w:val="28"/>
          <w:szCs w:val="28"/>
        </w:rPr>
        <w:t>Xét đề nghị của Giám đốc Sở Tài nguyên và Môi trường tại Tờ trình số 1764/TTr-STNMT ngày 20/11/2011,</w:t>
      </w:r>
    </w:p>
    <w:p w:rsidR="00F02C74" w:rsidRDefault="00F02C74" w:rsidP="00F02C74">
      <w:pPr>
        <w:ind w:firstLine="720"/>
        <w:jc w:val="both"/>
        <w:rPr>
          <w:sz w:val="28"/>
          <w:szCs w:val="28"/>
        </w:rPr>
      </w:pPr>
    </w:p>
    <w:p w:rsidR="00F02C74" w:rsidRDefault="00F02C74" w:rsidP="00F02C74">
      <w:pPr>
        <w:jc w:val="center"/>
        <w:rPr>
          <w:b/>
          <w:sz w:val="28"/>
          <w:szCs w:val="28"/>
        </w:rPr>
      </w:pPr>
      <w:r>
        <w:rPr>
          <w:b/>
          <w:sz w:val="28"/>
          <w:szCs w:val="28"/>
        </w:rPr>
        <w:t>QUYẾT ĐỊNH:</w:t>
      </w:r>
    </w:p>
    <w:p w:rsidR="00F02C74" w:rsidRDefault="00F02C74" w:rsidP="00F02C74">
      <w:pPr>
        <w:jc w:val="both"/>
        <w:rPr>
          <w:sz w:val="28"/>
          <w:szCs w:val="28"/>
        </w:rPr>
      </w:pPr>
      <w:r>
        <w:rPr>
          <w:sz w:val="28"/>
          <w:szCs w:val="28"/>
        </w:rPr>
        <w:tab/>
      </w:r>
    </w:p>
    <w:p w:rsidR="00F02C74" w:rsidRDefault="00F02C74" w:rsidP="00F02C74">
      <w:pPr>
        <w:jc w:val="both"/>
        <w:rPr>
          <w:sz w:val="28"/>
          <w:szCs w:val="28"/>
        </w:rPr>
      </w:pPr>
      <w:r>
        <w:rPr>
          <w:sz w:val="28"/>
          <w:szCs w:val="28"/>
        </w:rPr>
        <w:tab/>
      </w:r>
      <w:r>
        <w:rPr>
          <w:b/>
          <w:sz w:val="28"/>
          <w:szCs w:val="28"/>
        </w:rPr>
        <w:t>Điều 1.</w:t>
      </w:r>
      <w:r>
        <w:rPr>
          <w:sz w:val="28"/>
          <w:szCs w:val="28"/>
        </w:rPr>
        <w:t xml:space="preserve"> Ban hành kèm theo Quyết định này Bộ đơn giá: đo đạc, lập bản đồ địa chính, đăng ký thống kê, lập hồ sơ địa chính, cấp Giấy chứng nhận quyền sử dụng đất, quyền sở hữu nhà ở và tài sản gắn liền với đất; xây dựng cơ sở dữ liệu tài nguyên môi trường áp dụng trên địa bàn tỉnh Gia Lai, bao gồm:</w:t>
      </w:r>
    </w:p>
    <w:p w:rsidR="00F02C74" w:rsidRDefault="00F02C74" w:rsidP="00F02C74">
      <w:pPr>
        <w:jc w:val="both"/>
        <w:rPr>
          <w:sz w:val="28"/>
          <w:szCs w:val="28"/>
        </w:rPr>
      </w:pPr>
      <w:r>
        <w:rPr>
          <w:sz w:val="28"/>
          <w:szCs w:val="28"/>
        </w:rPr>
        <w:tab/>
        <w:t>Phần 1. Đo đạc bản đồ địa chính;</w:t>
      </w:r>
    </w:p>
    <w:p w:rsidR="00F02C74" w:rsidRDefault="00F02C74" w:rsidP="00F02C74">
      <w:pPr>
        <w:jc w:val="both"/>
        <w:rPr>
          <w:sz w:val="28"/>
          <w:szCs w:val="28"/>
        </w:rPr>
      </w:pPr>
      <w:r>
        <w:rPr>
          <w:sz w:val="28"/>
          <w:szCs w:val="28"/>
        </w:rPr>
        <w:tab/>
        <w:t>Phần 2. Đăng ký thống kê, lập hồ sơ địa chính, cấp giấy chứng nhận quyền sử dụng đất, quyền sở hữu nhà ở và tài sản gắn liền với đất;</w:t>
      </w:r>
    </w:p>
    <w:p w:rsidR="00F02C74" w:rsidRDefault="00F02C74" w:rsidP="00F02C74">
      <w:pPr>
        <w:jc w:val="both"/>
        <w:rPr>
          <w:sz w:val="28"/>
          <w:szCs w:val="28"/>
        </w:rPr>
      </w:pPr>
      <w:r>
        <w:rPr>
          <w:sz w:val="28"/>
          <w:szCs w:val="28"/>
        </w:rPr>
        <w:tab/>
        <w:t>Phần 3. Xây dựng cơ sở dữ liệu tài nguyên môi trường.</w:t>
      </w:r>
    </w:p>
    <w:p w:rsidR="00F02C74" w:rsidRDefault="00F02C74" w:rsidP="00F02C74">
      <w:pPr>
        <w:jc w:val="both"/>
        <w:rPr>
          <w:sz w:val="28"/>
          <w:szCs w:val="28"/>
        </w:rPr>
      </w:pPr>
      <w:r>
        <w:rPr>
          <w:sz w:val="28"/>
          <w:szCs w:val="28"/>
        </w:rPr>
        <w:tab/>
      </w:r>
    </w:p>
    <w:p w:rsidR="00F02C74" w:rsidRDefault="00F02C74" w:rsidP="00F02C74">
      <w:pPr>
        <w:jc w:val="both"/>
        <w:rPr>
          <w:sz w:val="28"/>
          <w:szCs w:val="28"/>
        </w:rPr>
      </w:pPr>
      <w:r>
        <w:rPr>
          <w:sz w:val="28"/>
          <w:szCs w:val="28"/>
        </w:rPr>
        <w:lastRenderedPageBreak/>
        <w:tab/>
      </w:r>
      <w:r>
        <w:rPr>
          <w:b/>
          <w:sz w:val="28"/>
          <w:szCs w:val="28"/>
        </w:rPr>
        <w:t>Điều 2.</w:t>
      </w:r>
      <w:r>
        <w:rPr>
          <w:sz w:val="28"/>
          <w:szCs w:val="28"/>
        </w:rPr>
        <w:t xml:space="preserve"> Bộ đơn giá: đo đạc, lập bản đồ địa chính, đăng ký thống kê, lập hồ sơ địa chính, cấp Giấy chứng nhận quyền sử dụng đất, quyền sở hữu nhà ở và tài sản gắn liền với đất; xây dựng cơ sở dữ liệu tài nguyên môi trường là cơ sở để lập, thẩm tra, xét duyệt giá dự toán và quyết toán các công trình, sản phẩm đo đạc bản đồ địa chính trên địa bàn tỉnh Gia Lai.</w:t>
      </w:r>
    </w:p>
    <w:p w:rsidR="00F02C74" w:rsidRDefault="00F02C74" w:rsidP="00F02C74">
      <w:pPr>
        <w:jc w:val="both"/>
        <w:rPr>
          <w:sz w:val="28"/>
          <w:szCs w:val="28"/>
        </w:rPr>
      </w:pPr>
      <w:r>
        <w:rPr>
          <w:sz w:val="28"/>
          <w:szCs w:val="28"/>
        </w:rPr>
        <w:tab/>
      </w:r>
    </w:p>
    <w:p w:rsidR="00F02C74" w:rsidRDefault="00F02C74" w:rsidP="00F02C74">
      <w:pPr>
        <w:jc w:val="both"/>
        <w:rPr>
          <w:sz w:val="28"/>
          <w:szCs w:val="28"/>
        </w:rPr>
      </w:pPr>
      <w:r>
        <w:rPr>
          <w:sz w:val="28"/>
          <w:szCs w:val="28"/>
        </w:rPr>
        <w:tab/>
      </w:r>
      <w:r>
        <w:rPr>
          <w:b/>
          <w:sz w:val="28"/>
          <w:szCs w:val="28"/>
        </w:rPr>
        <w:t>Điều 3.</w:t>
      </w:r>
      <w:r>
        <w:rPr>
          <w:sz w:val="28"/>
          <w:szCs w:val="28"/>
        </w:rPr>
        <w:t xml:space="preserve"> Khi có biến động điều chỉnh về chính sách giá, tiền lương, định mức kinh tế kỹ thuật, giao Sở Tài nguyên và Môi trường phối hợp với Sở Tài chính đề xuất UBND tỉnh xem xét điều chỉnh cho phù hợp.</w:t>
      </w:r>
    </w:p>
    <w:p w:rsidR="00F02C74" w:rsidRDefault="00F02C74" w:rsidP="00F02C74">
      <w:pPr>
        <w:jc w:val="both"/>
        <w:rPr>
          <w:sz w:val="28"/>
          <w:szCs w:val="28"/>
        </w:rPr>
      </w:pPr>
    </w:p>
    <w:p w:rsidR="00F02C74" w:rsidRDefault="00F02C74" w:rsidP="00F02C74">
      <w:pPr>
        <w:jc w:val="both"/>
        <w:rPr>
          <w:sz w:val="28"/>
          <w:szCs w:val="28"/>
        </w:rPr>
      </w:pPr>
      <w:r>
        <w:rPr>
          <w:sz w:val="28"/>
          <w:szCs w:val="28"/>
        </w:rPr>
        <w:tab/>
      </w:r>
      <w:r>
        <w:rPr>
          <w:b/>
          <w:sz w:val="28"/>
          <w:szCs w:val="28"/>
        </w:rPr>
        <w:t>Điều 4.</w:t>
      </w:r>
      <w:r>
        <w:rPr>
          <w:sz w:val="28"/>
          <w:szCs w:val="28"/>
        </w:rPr>
        <w:t xml:space="preserve"> Quyết định này có hiệu lực thi hành sau 10 ngày kể từ ngày ký và thay thế Quyết định số 153/2005/QĐ-UBND ngày 01/12/2005 của UBND tỉnh Gia Lai về việc ban hành đơn giá đo đạc lập hồ sơ địa chính và cấp Giấy chứng nhận quyền sử dụng đất.</w:t>
      </w:r>
    </w:p>
    <w:p w:rsidR="00F02C74" w:rsidRDefault="00F02C74" w:rsidP="00F02C74">
      <w:pPr>
        <w:jc w:val="both"/>
        <w:rPr>
          <w:sz w:val="28"/>
          <w:szCs w:val="28"/>
        </w:rPr>
      </w:pPr>
    </w:p>
    <w:p w:rsidR="00F02C74" w:rsidRDefault="00F02C74" w:rsidP="00F02C74">
      <w:pPr>
        <w:jc w:val="both"/>
        <w:rPr>
          <w:sz w:val="28"/>
          <w:szCs w:val="28"/>
        </w:rPr>
      </w:pPr>
      <w:r>
        <w:rPr>
          <w:sz w:val="28"/>
          <w:szCs w:val="28"/>
        </w:rPr>
        <w:tab/>
      </w:r>
      <w:r>
        <w:rPr>
          <w:b/>
          <w:sz w:val="28"/>
          <w:szCs w:val="28"/>
        </w:rPr>
        <w:t>Điều 5.</w:t>
      </w:r>
      <w:r>
        <w:rPr>
          <w:sz w:val="28"/>
          <w:szCs w:val="28"/>
        </w:rPr>
        <w:t xml:space="preserve"> Sở Tài nguyên và Môi trường có trách nhiệm hướng dẫn áp dụng đồng thời theo dõi, giám sát việc thực hiện Bộ đơn giá: đo đạc, lập bản đồ địa chính, đăng ký thống kê, lập hồ sơ địa chính, cấp Giấy chứng nhận quyền sử dụng đất, quyền sở hữu nhà ở và tài sản gắn liền với đất; xây dựng cơ sở dữ liệu tài nguyên môi trường áp dụng trên địa bàn tỉnh Gia Lai.</w:t>
      </w:r>
    </w:p>
    <w:p w:rsidR="00F02C74" w:rsidRDefault="00F02C74" w:rsidP="00F02C74">
      <w:pPr>
        <w:jc w:val="both"/>
        <w:rPr>
          <w:sz w:val="28"/>
          <w:szCs w:val="28"/>
        </w:rPr>
      </w:pPr>
    </w:p>
    <w:p w:rsidR="00F02C74" w:rsidRDefault="00F02C74" w:rsidP="00F02C74">
      <w:pPr>
        <w:jc w:val="both"/>
        <w:rPr>
          <w:sz w:val="28"/>
          <w:szCs w:val="28"/>
        </w:rPr>
      </w:pPr>
      <w:r>
        <w:rPr>
          <w:sz w:val="28"/>
          <w:szCs w:val="28"/>
        </w:rPr>
        <w:tab/>
      </w:r>
      <w:r>
        <w:rPr>
          <w:b/>
          <w:sz w:val="28"/>
          <w:szCs w:val="28"/>
        </w:rPr>
        <w:t>Điều 6.</w:t>
      </w:r>
      <w:r>
        <w:rPr>
          <w:sz w:val="28"/>
          <w:szCs w:val="28"/>
        </w:rPr>
        <w:t xml:space="preserve"> Chánh Văn phòng UBND tỉnh, Giám đốc các Sở: Tài nguyên và Môi trường, Tài chính, Kế hoạch và Đầu tư, Giám đốc Kho bạc Nhà nước tỉnh, Chủ tịch UBND các huyện, thị xã, thành phố và Thủ trưởng các cơ quan, đơn vị có liên quan chịu trách nhiệm thi hành Quyết định này./.</w:t>
      </w:r>
    </w:p>
    <w:p w:rsidR="00F02C74" w:rsidRDefault="00F02C74" w:rsidP="00F02C74">
      <w:pPr>
        <w:jc w:val="both"/>
        <w:rPr>
          <w:sz w:val="28"/>
          <w:szCs w:val="28"/>
        </w:rPr>
      </w:pPr>
    </w:p>
    <w:p w:rsidR="00F02C74" w:rsidRDefault="00F02C74" w:rsidP="00F02C74">
      <w:pPr>
        <w:jc w:val="both"/>
        <w:rPr>
          <w:b/>
          <w:sz w:val="28"/>
          <w:szCs w:val="28"/>
        </w:rPr>
      </w:pPr>
      <w:r>
        <w:rPr>
          <w:b/>
          <w:i/>
        </w:rPr>
        <w:t xml:space="preserve">Nơi nhận:  </w:t>
      </w:r>
      <w:r>
        <w:rPr>
          <w:sz w:val="28"/>
          <w:szCs w:val="28"/>
        </w:rPr>
        <w:t xml:space="preserve">                                                          </w:t>
      </w:r>
      <w:r>
        <w:rPr>
          <w:b/>
          <w:sz w:val="28"/>
          <w:szCs w:val="28"/>
        </w:rPr>
        <w:t>TM. ỦY BAN NHÂN DÂN TỈNH</w:t>
      </w:r>
    </w:p>
    <w:p w:rsidR="00F02C74" w:rsidRDefault="00F02C74" w:rsidP="00F02C74">
      <w:pPr>
        <w:jc w:val="both"/>
        <w:rPr>
          <w:sz w:val="28"/>
          <w:szCs w:val="28"/>
        </w:rPr>
      </w:pPr>
      <w:r>
        <w:rPr>
          <w:sz w:val="22"/>
          <w:szCs w:val="22"/>
        </w:rPr>
        <w:t xml:space="preserve">- Như Điều 6; </w:t>
      </w:r>
      <w:r>
        <w:rPr>
          <w:sz w:val="28"/>
          <w:szCs w:val="28"/>
        </w:rPr>
        <w:t xml:space="preserve">                                                                          </w:t>
      </w:r>
      <w:r>
        <w:rPr>
          <w:b/>
          <w:sz w:val="28"/>
          <w:szCs w:val="28"/>
        </w:rPr>
        <w:t>CHỦ TỊCH</w:t>
      </w:r>
    </w:p>
    <w:p w:rsidR="00F02C74" w:rsidRDefault="00F02C74" w:rsidP="00F02C74">
      <w:pPr>
        <w:jc w:val="both"/>
        <w:rPr>
          <w:sz w:val="22"/>
          <w:szCs w:val="22"/>
        </w:rPr>
      </w:pPr>
      <w:r>
        <w:rPr>
          <w:sz w:val="22"/>
          <w:szCs w:val="22"/>
        </w:rPr>
        <w:t>- Bộ TN&amp;MT (b/c);</w:t>
      </w:r>
    </w:p>
    <w:p w:rsidR="00F02C74" w:rsidRDefault="00F02C74" w:rsidP="00F02C74">
      <w:pPr>
        <w:jc w:val="both"/>
        <w:rPr>
          <w:sz w:val="22"/>
          <w:szCs w:val="22"/>
        </w:rPr>
      </w:pPr>
      <w:r>
        <w:rPr>
          <w:sz w:val="22"/>
          <w:szCs w:val="22"/>
        </w:rPr>
        <w:t>- Bộ Tài chính (b/c);</w:t>
      </w:r>
    </w:p>
    <w:p w:rsidR="00F02C74" w:rsidRDefault="00F02C74" w:rsidP="00F02C74">
      <w:pPr>
        <w:jc w:val="both"/>
        <w:rPr>
          <w:sz w:val="22"/>
          <w:szCs w:val="22"/>
        </w:rPr>
      </w:pPr>
      <w:r>
        <w:rPr>
          <w:sz w:val="22"/>
          <w:szCs w:val="22"/>
        </w:rPr>
        <w:t>- TT Tỉnh ủy (b/c);</w:t>
      </w:r>
    </w:p>
    <w:p w:rsidR="00F02C74" w:rsidRDefault="00F02C74" w:rsidP="00F02C74">
      <w:pPr>
        <w:jc w:val="both"/>
        <w:rPr>
          <w:sz w:val="22"/>
          <w:szCs w:val="22"/>
        </w:rPr>
      </w:pPr>
      <w:r>
        <w:rPr>
          <w:sz w:val="22"/>
          <w:szCs w:val="22"/>
        </w:rPr>
        <w:t>- TT HĐND tỉnh (b/c);</w:t>
      </w:r>
    </w:p>
    <w:p w:rsidR="00F02C74" w:rsidRDefault="00F02C74" w:rsidP="00F02C74">
      <w:pPr>
        <w:jc w:val="both"/>
        <w:rPr>
          <w:sz w:val="22"/>
          <w:szCs w:val="22"/>
        </w:rPr>
      </w:pPr>
      <w:r>
        <w:rPr>
          <w:sz w:val="22"/>
          <w:szCs w:val="22"/>
        </w:rPr>
        <w:t>- Đ/c Chủ tịch, các PCT UBND tỉnh;</w:t>
      </w:r>
    </w:p>
    <w:p w:rsidR="00F02C74" w:rsidRDefault="00F02C74" w:rsidP="00F02C74">
      <w:pPr>
        <w:jc w:val="both"/>
        <w:rPr>
          <w:sz w:val="22"/>
          <w:szCs w:val="22"/>
        </w:rPr>
      </w:pPr>
      <w:r>
        <w:rPr>
          <w:sz w:val="22"/>
          <w:szCs w:val="22"/>
        </w:rPr>
        <w:t>- Cục kiểm tra văn bản (BTP);</w:t>
      </w:r>
    </w:p>
    <w:p w:rsidR="00F02C74" w:rsidRDefault="00F02C74" w:rsidP="00F02C74">
      <w:pPr>
        <w:jc w:val="both"/>
        <w:rPr>
          <w:sz w:val="22"/>
          <w:szCs w:val="22"/>
        </w:rPr>
      </w:pPr>
      <w:r>
        <w:rPr>
          <w:sz w:val="22"/>
          <w:szCs w:val="22"/>
        </w:rPr>
        <w:t>- Đ/c Chánh Văn phòng, các PVP UBND tỉnh;</w:t>
      </w:r>
    </w:p>
    <w:p w:rsidR="00F02C74" w:rsidRDefault="00F02C74" w:rsidP="00F02C74">
      <w:pPr>
        <w:jc w:val="both"/>
        <w:rPr>
          <w:sz w:val="22"/>
          <w:szCs w:val="22"/>
        </w:rPr>
      </w:pPr>
      <w:r>
        <w:rPr>
          <w:sz w:val="22"/>
          <w:szCs w:val="22"/>
        </w:rPr>
        <w:t>- Lưu: VT, NC, CNXD.</w:t>
      </w:r>
    </w:p>
    <w:p w:rsidR="00AD0625" w:rsidRPr="00F02C74" w:rsidRDefault="00F02C74" w:rsidP="00F02C74">
      <w:r>
        <w:rPr>
          <w:sz w:val="28"/>
          <w:szCs w:val="28"/>
        </w:rPr>
        <w:br w:type="page"/>
      </w:r>
    </w:p>
    <w:sectPr w:rsidR="00AD0625" w:rsidRPr="00F02C74" w:rsidSect="00AD06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WIN Sample Font">
    <w:altName w:val="Times New Roman"/>
    <w:charset w:val="00"/>
    <w:family w:val="auto"/>
    <w:pitch w:val="variable"/>
    <w:sig w:usb0="00000007" w:usb1="00000000" w:usb2="00000000" w:usb3="00000000" w:csb0="0000001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23C7B"/>
    <w:rsid w:val="006A4BF7"/>
    <w:rsid w:val="006E5BA5"/>
    <w:rsid w:val="006F6231"/>
    <w:rsid w:val="007B2F15"/>
    <w:rsid w:val="00807CB9"/>
    <w:rsid w:val="008F3CDD"/>
    <w:rsid w:val="009A3827"/>
    <w:rsid w:val="00AD0625"/>
    <w:rsid w:val="00D12160"/>
    <w:rsid w:val="00D26F79"/>
    <w:rsid w:val="00D624F8"/>
    <w:rsid w:val="00E23C7B"/>
    <w:rsid w:val="00E339CA"/>
    <w:rsid w:val="00EC07C0"/>
    <w:rsid w:val="00F02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07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C07C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7B2F15"/>
    <w:pPr>
      <w:keepNext/>
      <w:spacing w:before="60" w:after="60"/>
      <w:jc w:val="center"/>
      <w:outlineLvl w:val="5"/>
    </w:pPr>
    <w:rPr>
      <w:rFonts w:ascii="VNtimes new roman" w:hAnsi="VN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23C7B"/>
    <w:pPr>
      <w:ind w:firstLine="720"/>
      <w:jc w:val="both"/>
    </w:pPr>
    <w:rPr>
      <w:rFonts w:ascii=".VnTime" w:hAnsi=".VnTime"/>
      <w:sz w:val="28"/>
      <w:szCs w:val="20"/>
    </w:rPr>
  </w:style>
  <w:style w:type="character" w:customStyle="1" w:styleId="BodyTextIndentChar">
    <w:name w:val="Body Text Indent Char"/>
    <w:basedOn w:val="DefaultParagraphFont"/>
    <w:link w:val="BodyTextIndent"/>
    <w:semiHidden/>
    <w:rsid w:val="00E23C7B"/>
    <w:rPr>
      <w:rFonts w:ascii=".VnTime" w:eastAsia="Times New Roman" w:hAnsi=".VnTime" w:cs="Times New Roman"/>
      <w:sz w:val="28"/>
      <w:szCs w:val="20"/>
    </w:rPr>
  </w:style>
  <w:style w:type="paragraph" w:styleId="BodyTextIndent2">
    <w:name w:val="Body Text Indent 2"/>
    <w:basedOn w:val="Normal"/>
    <w:link w:val="BodyTextIndent2Char"/>
    <w:semiHidden/>
    <w:unhideWhenUsed/>
    <w:rsid w:val="00E23C7B"/>
    <w:pPr>
      <w:widowControl w:val="0"/>
      <w:overflowPunct w:val="0"/>
      <w:autoSpaceDE w:val="0"/>
      <w:autoSpaceDN w:val="0"/>
      <w:adjustRightInd w:val="0"/>
      <w:spacing w:after="120" w:line="480" w:lineRule="auto"/>
      <w:ind w:left="360"/>
    </w:pPr>
    <w:rPr>
      <w:rFonts w:ascii="VNI-WIN Sample Font" w:hAnsi="VNI-WIN Sample Font"/>
      <w:sz w:val="40"/>
      <w:szCs w:val="20"/>
    </w:rPr>
  </w:style>
  <w:style w:type="character" w:customStyle="1" w:styleId="BodyTextIndent2Char">
    <w:name w:val="Body Text Indent 2 Char"/>
    <w:basedOn w:val="DefaultParagraphFont"/>
    <w:link w:val="BodyTextIndent2"/>
    <w:semiHidden/>
    <w:rsid w:val="00E23C7B"/>
    <w:rPr>
      <w:rFonts w:ascii="VNI-WIN Sample Font" w:eastAsia="Times New Roman" w:hAnsi="VNI-WIN Sample Font" w:cs="Times New Roman"/>
      <w:sz w:val="40"/>
      <w:szCs w:val="20"/>
    </w:rPr>
  </w:style>
  <w:style w:type="character" w:customStyle="1" w:styleId="Heading6Char">
    <w:name w:val="Heading 6 Char"/>
    <w:basedOn w:val="DefaultParagraphFont"/>
    <w:link w:val="Heading6"/>
    <w:semiHidden/>
    <w:rsid w:val="007B2F15"/>
    <w:rPr>
      <w:rFonts w:ascii="VNtimes new roman" w:eastAsia="Times New Roman" w:hAnsi="VNtimes new roman" w:cs="Times New Roman"/>
      <w:b/>
      <w:bCs/>
      <w:sz w:val="28"/>
      <w:szCs w:val="20"/>
    </w:rPr>
  </w:style>
  <w:style w:type="character" w:customStyle="1" w:styleId="Heading1Char">
    <w:name w:val="Heading 1 Char"/>
    <w:basedOn w:val="DefaultParagraphFont"/>
    <w:link w:val="Heading1"/>
    <w:uiPriority w:val="9"/>
    <w:rsid w:val="00EC07C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C07C0"/>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semiHidden/>
    <w:unhideWhenUsed/>
    <w:rsid w:val="00EC07C0"/>
    <w:pPr>
      <w:spacing w:after="120"/>
    </w:pPr>
  </w:style>
  <w:style w:type="character" w:customStyle="1" w:styleId="BodyTextChar">
    <w:name w:val="Body Text Char"/>
    <w:basedOn w:val="DefaultParagraphFont"/>
    <w:link w:val="BodyText"/>
    <w:uiPriority w:val="99"/>
    <w:semiHidden/>
    <w:rsid w:val="00EC07C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392472">
      <w:bodyDiv w:val="1"/>
      <w:marLeft w:val="0"/>
      <w:marRight w:val="0"/>
      <w:marTop w:val="0"/>
      <w:marBottom w:val="0"/>
      <w:divBdr>
        <w:top w:val="none" w:sz="0" w:space="0" w:color="auto"/>
        <w:left w:val="none" w:sz="0" w:space="0" w:color="auto"/>
        <w:bottom w:val="none" w:sz="0" w:space="0" w:color="auto"/>
        <w:right w:val="none" w:sz="0" w:space="0" w:color="auto"/>
      </w:divBdr>
    </w:div>
    <w:div w:id="449905067">
      <w:bodyDiv w:val="1"/>
      <w:marLeft w:val="0"/>
      <w:marRight w:val="0"/>
      <w:marTop w:val="0"/>
      <w:marBottom w:val="0"/>
      <w:divBdr>
        <w:top w:val="none" w:sz="0" w:space="0" w:color="auto"/>
        <w:left w:val="none" w:sz="0" w:space="0" w:color="auto"/>
        <w:bottom w:val="none" w:sz="0" w:space="0" w:color="auto"/>
        <w:right w:val="none" w:sz="0" w:space="0" w:color="auto"/>
      </w:divBdr>
    </w:div>
    <w:div w:id="818769965">
      <w:bodyDiv w:val="1"/>
      <w:marLeft w:val="0"/>
      <w:marRight w:val="0"/>
      <w:marTop w:val="0"/>
      <w:marBottom w:val="0"/>
      <w:divBdr>
        <w:top w:val="none" w:sz="0" w:space="0" w:color="auto"/>
        <w:left w:val="none" w:sz="0" w:space="0" w:color="auto"/>
        <w:bottom w:val="none" w:sz="0" w:space="0" w:color="auto"/>
        <w:right w:val="none" w:sz="0" w:space="0" w:color="auto"/>
      </w:divBdr>
    </w:div>
    <w:div w:id="860438413">
      <w:bodyDiv w:val="1"/>
      <w:marLeft w:val="0"/>
      <w:marRight w:val="0"/>
      <w:marTop w:val="0"/>
      <w:marBottom w:val="0"/>
      <w:divBdr>
        <w:top w:val="none" w:sz="0" w:space="0" w:color="auto"/>
        <w:left w:val="none" w:sz="0" w:space="0" w:color="auto"/>
        <w:bottom w:val="none" w:sz="0" w:space="0" w:color="auto"/>
        <w:right w:val="none" w:sz="0" w:space="0" w:color="auto"/>
      </w:divBdr>
    </w:div>
    <w:div w:id="994728187">
      <w:bodyDiv w:val="1"/>
      <w:marLeft w:val="0"/>
      <w:marRight w:val="0"/>
      <w:marTop w:val="0"/>
      <w:marBottom w:val="0"/>
      <w:divBdr>
        <w:top w:val="none" w:sz="0" w:space="0" w:color="auto"/>
        <w:left w:val="none" w:sz="0" w:space="0" w:color="auto"/>
        <w:bottom w:val="none" w:sz="0" w:space="0" w:color="auto"/>
        <w:right w:val="none" w:sz="0" w:space="0" w:color="auto"/>
      </w:divBdr>
    </w:div>
    <w:div w:id="1922791961">
      <w:bodyDiv w:val="1"/>
      <w:marLeft w:val="0"/>
      <w:marRight w:val="0"/>
      <w:marTop w:val="0"/>
      <w:marBottom w:val="0"/>
      <w:divBdr>
        <w:top w:val="none" w:sz="0" w:space="0" w:color="auto"/>
        <w:left w:val="none" w:sz="0" w:space="0" w:color="auto"/>
        <w:bottom w:val="none" w:sz="0" w:space="0" w:color="auto"/>
        <w:right w:val="none" w:sz="0" w:space="0" w:color="auto"/>
      </w:divBdr>
    </w:div>
    <w:div w:id="1973704640">
      <w:bodyDiv w:val="1"/>
      <w:marLeft w:val="0"/>
      <w:marRight w:val="0"/>
      <w:marTop w:val="0"/>
      <w:marBottom w:val="0"/>
      <w:divBdr>
        <w:top w:val="none" w:sz="0" w:space="0" w:color="auto"/>
        <w:left w:val="none" w:sz="0" w:space="0" w:color="auto"/>
        <w:bottom w:val="none" w:sz="0" w:space="0" w:color="auto"/>
        <w:right w:val="none" w:sz="0" w:space="0" w:color="auto"/>
      </w:divBdr>
    </w:div>
    <w:div w:id="21297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CD438-B2DB-41D8-A920-6D62020550E5}"/>
</file>

<file path=customXml/itemProps2.xml><?xml version="1.0" encoding="utf-8"?>
<ds:datastoreItem xmlns:ds="http://schemas.openxmlformats.org/officeDocument/2006/customXml" ds:itemID="{C3F8B6AB-6CDF-481C-86CC-2414D1759E60}"/>
</file>

<file path=customXml/itemProps3.xml><?xml version="1.0" encoding="utf-8"?>
<ds:datastoreItem xmlns:ds="http://schemas.openxmlformats.org/officeDocument/2006/customXml" ds:itemID="{5D432603-B642-4022-9C2F-B79075620177}"/>
</file>

<file path=docProps/app.xml><?xml version="1.0" encoding="utf-8"?>
<Properties xmlns="http://schemas.openxmlformats.org/officeDocument/2006/extended-properties" xmlns:vt="http://schemas.openxmlformats.org/officeDocument/2006/docPropsVTypes">
  <Template>Normal</Template>
  <TotalTime>6</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hp</cp:lastModifiedBy>
  <cp:revision>3</cp:revision>
  <dcterms:created xsi:type="dcterms:W3CDTF">2019-01-21T09:24:00Z</dcterms:created>
  <dcterms:modified xsi:type="dcterms:W3CDTF">2019-01-21T09:30:00Z</dcterms:modified>
</cp:coreProperties>
</file>