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68"/>
        <w:gridCol w:w="5824"/>
      </w:tblGrid>
      <w:tr w:rsidR="00EE3767" w:rsidRPr="0067307E">
        <w:trPr>
          <w:jc w:val="center"/>
        </w:trPr>
        <w:tc>
          <w:tcPr>
            <w:tcW w:w="3468" w:type="dxa"/>
          </w:tcPr>
          <w:p w:rsidR="00EE3767" w:rsidRPr="0067307E" w:rsidRDefault="00EE3767" w:rsidP="00EE3767">
            <w:pPr>
              <w:jc w:val="center"/>
              <w:rPr>
                <w:b/>
                <w:sz w:val="26"/>
                <w:szCs w:val="26"/>
              </w:rPr>
            </w:pPr>
            <w:r w:rsidRPr="0067307E">
              <w:rPr>
                <w:b/>
                <w:sz w:val="26"/>
                <w:szCs w:val="26"/>
              </w:rPr>
              <w:t>ỦY BAN NHÂN DÂN</w:t>
            </w:r>
          </w:p>
          <w:p w:rsidR="00EE3767" w:rsidRPr="0067307E" w:rsidRDefault="00EE3767" w:rsidP="00EE3767">
            <w:pPr>
              <w:jc w:val="center"/>
              <w:rPr>
                <w:b/>
                <w:sz w:val="26"/>
                <w:szCs w:val="26"/>
              </w:rPr>
            </w:pPr>
            <w:r w:rsidRPr="0067307E">
              <w:rPr>
                <w:b/>
                <w:sz w:val="26"/>
                <w:szCs w:val="26"/>
              </w:rPr>
              <w:t>TỈNH TÂY NINH</w:t>
            </w:r>
          </w:p>
          <w:p w:rsidR="00EE3767" w:rsidRPr="0067307E" w:rsidRDefault="004D5E8F" w:rsidP="00EE37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17145</wp:posOffset>
                      </wp:positionV>
                      <wp:extent cx="711200" cy="0"/>
                      <wp:effectExtent l="13970" t="12065" r="8255" b="6985"/>
                      <wp:wrapNone/>
                      <wp:docPr id="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31C3AD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1.35pt" to="10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O6yEw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5824" w:type="dxa"/>
          </w:tcPr>
          <w:p w:rsidR="00EE3767" w:rsidRPr="0067307E" w:rsidRDefault="00EE3767" w:rsidP="00EE3767">
            <w:pPr>
              <w:jc w:val="center"/>
              <w:rPr>
                <w:b/>
                <w:sz w:val="26"/>
                <w:szCs w:val="26"/>
              </w:rPr>
            </w:pPr>
            <w:r w:rsidRPr="0067307E">
              <w:rPr>
                <w:b/>
                <w:sz w:val="26"/>
                <w:szCs w:val="26"/>
              </w:rPr>
              <w:t>CỘNG HÒA XÃ HỘI CHỦ NGHĨA VIỆT NAM</w:t>
            </w:r>
          </w:p>
          <w:p w:rsidR="00EE3767" w:rsidRPr="0067307E" w:rsidRDefault="00EE3767" w:rsidP="00EE3767">
            <w:pPr>
              <w:jc w:val="center"/>
              <w:rPr>
                <w:b/>
                <w:sz w:val="26"/>
                <w:szCs w:val="26"/>
              </w:rPr>
            </w:pPr>
            <w:r w:rsidRPr="0067307E">
              <w:rPr>
                <w:b/>
                <w:sz w:val="26"/>
                <w:szCs w:val="26"/>
              </w:rPr>
              <w:t>Độc lập - Tự do - Hạnh phúc</w:t>
            </w:r>
          </w:p>
          <w:p w:rsidR="00EE3767" w:rsidRPr="0067307E" w:rsidRDefault="004D5E8F" w:rsidP="00EE37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34925</wp:posOffset>
                      </wp:positionV>
                      <wp:extent cx="1865630" cy="0"/>
                      <wp:effectExtent l="10160" t="10795" r="10160" b="8255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5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ACB15C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pt,2.75pt" to="213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as9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D63pjSsgolI7G4qjZ/Vitpp+d0jpqiXqwCPF14uBvCxkJG9SwsYZuGDff9YMYsjR69in&#10;c2O7AAkdQOcox+UuBz97ROEwm8+msyd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"/>
                  </w:pict>
                </mc:Fallback>
              </mc:AlternateContent>
            </w:r>
          </w:p>
        </w:tc>
      </w:tr>
      <w:tr w:rsidR="00EE3767" w:rsidRPr="0067307E">
        <w:trPr>
          <w:jc w:val="center"/>
        </w:trPr>
        <w:tc>
          <w:tcPr>
            <w:tcW w:w="3468" w:type="dxa"/>
          </w:tcPr>
          <w:p w:rsidR="00EE3767" w:rsidRPr="0067307E" w:rsidRDefault="00EE3767" w:rsidP="00CF3581">
            <w:pPr>
              <w:jc w:val="center"/>
              <w:rPr>
                <w:sz w:val="26"/>
                <w:szCs w:val="26"/>
              </w:rPr>
            </w:pPr>
            <w:r w:rsidRPr="0067307E">
              <w:rPr>
                <w:sz w:val="26"/>
                <w:szCs w:val="26"/>
              </w:rPr>
              <w:t xml:space="preserve">Số: </w:t>
            </w:r>
            <w:r w:rsidR="006A1BE3">
              <w:rPr>
                <w:sz w:val="26"/>
                <w:szCs w:val="26"/>
              </w:rPr>
              <w:t>35</w:t>
            </w:r>
            <w:r w:rsidRPr="0067307E">
              <w:rPr>
                <w:sz w:val="26"/>
                <w:szCs w:val="26"/>
              </w:rPr>
              <w:t>/201</w:t>
            </w:r>
            <w:r w:rsidR="003F3FC0" w:rsidRPr="0067307E">
              <w:rPr>
                <w:sz w:val="26"/>
                <w:szCs w:val="26"/>
              </w:rPr>
              <w:t>7</w:t>
            </w:r>
            <w:r w:rsidRPr="0067307E">
              <w:rPr>
                <w:sz w:val="26"/>
                <w:szCs w:val="26"/>
              </w:rPr>
              <w:t>/QĐ-UBND</w:t>
            </w:r>
          </w:p>
        </w:tc>
        <w:tc>
          <w:tcPr>
            <w:tcW w:w="5824" w:type="dxa"/>
          </w:tcPr>
          <w:p w:rsidR="00EE3767" w:rsidRPr="0067307E" w:rsidRDefault="00EE3767" w:rsidP="003F3FC0">
            <w:pPr>
              <w:jc w:val="right"/>
              <w:rPr>
                <w:i/>
                <w:sz w:val="26"/>
                <w:szCs w:val="26"/>
              </w:rPr>
            </w:pPr>
            <w:r w:rsidRPr="0067307E">
              <w:rPr>
                <w:i/>
                <w:sz w:val="26"/>
                <w:szCs w:val="26"/>
              </w:rPr>
              <w:t xml:space="preserve">Tây Ninh, ngày </w:t>
            </w:r>
            <w:r w:rsidR="003F3FC0" w:rsidRPr="0067307E">
              <w:rPr>
                <w:i/>
                <w:sz w:val="26"/>
                <w:szCs w:val="26"/>
              </w:rPr>
              <w:t xml:space="preserve"> </w:t>
            </w:r>
            <w:r w:rsidR="006A1BE3">
              <w:rPr>
                <w:i/>
                <w:sz w:val="26"/>
                <w:szCs w:val="26"/>
              </w:rPr>
              <w:t xml:space="preserve">13 </w:t>
            </w:r>
            <w:r w:rsidRPr="0067307E">
              <w:rPr>
                <w:i/>
                <w:sz w:val="26"/>
                <w:szCs w:val="26"/>
              </w:rPr>
              <w:t xml:space="preserve"> tháng </w:t>
            </w:r>
            <w:r w:rsidR="006A1BE3">
              <w:rPr>
                <w:i/>
                <w:sz w:val="26"/>
                <w:szCs w:val="26"/>
              </w:rPr>
              <w:t xml:space="preserve">10 </w:t>
            </w:r>
            <w:bookmarkStart w:id="0" w:name="_GoBack"/>
            <w:bookmarkEnd w:id="0"/>
            <w:r w:rsidRPr="0067307E">
              <w:rPr>
                <w:i/>
                <w:sz w:val="26"/>
                <w:szCs w:val="26"/>
              </w:rPr>
              <w:t xml:space="preserve"> năm 201</w:t>
            </w:r>
            <w:r w:rsidR="003F3FC0" w:rsidRPr="0067307E">
              <w:rPr>
                <w:i/>
                <w:sz w:val="26"/>
                <w:szCs w:val="26"/>
              </w:rPr>
              <w:t>7</w:t>
            </w:r>
          </w:p>
        </w:tc>
      </w:tr>
    </w:tbl>
    <w:p w:rsidR="00EE3767" w:rsidRPr="00FD2E35" w:rsidRDefault="00EE3767" w:rsidP="00EE3767">
      <w:pPr>
        <w:rPr>
          <w:sz w:val="26"/>
          <w:szCs w:val="26"/>
        </w:rPr>
      </w:pPr>
    </w:p>
    <w:p w:rsidR="00EE3767" w:rsidRPr="0067307E" w:rsidRDefault="00EE3767" w:rsidP="00EE3767">
      <w:pPr>
        <w:jc w:val="center"/>
        <w:rPr>
          <w:b/>
        </w:rPr>
      </w:pPr>
      <w:r w:rsidRPr="0067307E">
        <w:rPr>
          <w:b/>
        </w:rPr>
        <w:t>QUYẾT ĐỊNH</w:t>
      </w:r>
    </w:p>
    <w:p w:rsidR="003F3FC0" w:rsidRPr="0067307E" w:rsidRDefault="003F3FC0" w:rsidP="00EE3767">
      <w:pPr>
        <w:jc w:val="center"/>
        <w:rPr>
          <w:b/>
        </w:rPr>
      </w:pPr>
      <w:r w:rsidRPr="0067307E">
        <w:rPr>
          <w:b/>
        </w:rPr>
        <w:t>Về việc quy định giá dịch vụ tối đa sử dụng phà</w:t>
      </w:r>
    </w:p>
    <w:p w:rsidR="003F3FC0" w:rsidRPr="0067307E" w:rsidRDefault="003F3FC0" w:rsidP="00EE3767">
      <w:pPr>
        <w:jc w:val="center"/>
        <w:rPr>
          <w:b/>
        </w:rPr>
      </w:pPr>
      <w:r w:rsidRPr="0067307E">
        <w:rPr>
          <w:b/>
        </w:rPr>
        <w:t>trên địa bàn tỉnh Tây Ninh</w:t>
      </w:r>
    </w:p>
    <w:p w:rsidR="00EE3767" w:rsidRPr="0067307E" w:rsidRDefault="004D5E8F" w:rsidP="00EE376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48260</wp:posOffset>
                </wp:positionV>
                <wp:extent cx="977900" cy="0"/>
                <wp:effectExtent l="5080" t="11430" r="7620" b="762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78BAB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pt,3.8pt" to="276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ua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"/>
            </w:pict>
          </mc:Fallback>
        </mc:AlternateContent>
      </w:r>
    </w:p>
    <w:p w:rsidR="00EE3767" w:rsidRDefault="003F3FC0" w:rsidP="00C9290E">
      <w:pPr>
        <w:spacing w:before="60" w:after="60" w:line="276" w:lineRule="auto"/>
        <w:jc w:val="center"/>
        <w:rPr>
          <w:b/>
        </w:rPr>
      </w:pPr>
      <w:r w:rsidRPr="0067307E">
        <w:rPr>
          <w:b/>
        </w:rPr>
        <w:t>ỦY BAN NHÂN DÂN TỈNH TÂY NINH</w:t>
      </w:r>
    </w:p>
    <w:p w:rsidR="003F3FC0" w:rsidRPr="0067307E" w:rsidRDefault="003F3FC0" w:rsidP="00C9290E">
      <w:pPr>
        <w:spacing w:before="60" w:after="60" w:line="276" w:lineRule="auto"/>
        <w:ind w:firstLine="697"/>
        <w:jc w:val="both"/>
        <w:rPr>
          <w:i/>
        </w:rPr>
      </w:pPr>
      <w:r w:rsidRPr="0067307E">
        <w:rPr>
          <w:i/>
        </w:rPr>
        <w:t>Căn cứ Luật Tổ chức chính quyền địa phương ngày 19 tháng 6 năm 2015;</w:t>
      </w:r>
    </w:p>
    <w:p w:rsidR="003F3FC0" w:rsidRPr="0067307E" w:rsidRDefault="003F3FC0" w:rsidP="00C9290E">
      <w:pPr>
        <w:spacing w:before="60" w:after="60" w:line="276" w:lineRule="auto"/>
        <w:ind w:firstLine="697"/>
        <w:jc w:val="both"/>
        <w:rPr>
          <w:i/>
        </w:rPr>
      </w:pPr>
      <w:r w:rsidRPr="0067307E">
        <w:rPr>
          <w:i/>
        </w:rPr>
        <w:t>Căn cứ Luật Phí và lệ phí ngày 25 tháng 11 năm 2015;</w:t>
      </w:r>
    </w:p>
    <w:p w:rsidR="003F3FC0" w:rsidRPr="0067307E" w:rsidRDefault="003F3FC0" w:rsidP="00C9290E">
      <w:pPr>
        <w:spacing w:before="60" w:after="60" w:line="276" w:lineRule="auto"/>
        <w:ind w:firstLine="697"/>
        <w:jc w:val="both"/>
        <w:rPr>
          <w:i/>
        </w:rPr>
      </w:pPr>
      <w:r w:rsidRPr="0067307E">
        <w:rPr>
          <w:i/>
        </w:rPr>
        <w:t>Căn cứ Luật Giá ngày 20 tháng 6 năm 2012;</w:t>
      </w:r>
    </w:p>
    <w:p w:rsidR="003F3FC0" w:rsidRPr="0067307E" w:rsidRDefault="003F3FC0" w:rsidP="00C9290E">
      <w:pPr>
        <w:spacing w:before="60" w:after="60" w:line="276" w:lineRule="auto"/>
        <w:ind w:firstLine="697"/>
        <w:jc w:val="both"/>
        <w:rPr>
          <w:i/>
        </w:rPr>
      </w:pPr>
      <w:r w:rsidRPr="0067307E">
        <w:rPr>
          <w:i/>
        </w:rPr>
        <w:t>Căn cứ Nghị định số 177/2013/NĐ-CP ngày 14 tháng 11 năm 2013 của Chính phủ quy định chi tiết và hướng dẫn thi hành một số điều của Luật giá;</w:t>
      </w:r>
    </w:p>
    <w:p w:rsidR="003F3FC0" w:rsidRPr="0067307E" w:rsidRDefault="003F3FC0" w:rsidP="00C9290E">
      <w:pPr>
        <w:spacing w:before="60" w:after="60" w:line="276" w:lineRule="auto"/>
        <w:ind w:firstLine="697"/>
        <w:jc w:val="both"/>
        <w:rPr>
          <w:i/>
        </w:rPr>
      </w:pPr>
      <w:r w:rsidRPr="0067307E">
        <w:rPr>
          <w:i/>
        </w:rPr>
        <w:t>Căn cứ Nghị định số 149/2016/NĐ-CP ngày 11 tháng 11 năm 2016 của Chính phủ sửa đổi, bổ sung một số điều của Nghị định số 177/2013/NĐ-CP ngày 14 tháng 11 năm 2013 của Chính phủ quy định chi tiết và hướng dẫn thi hành một số điều của Luật Giá;</w:t>
      </w:r>
    </w:p>
    <w:p w:rsidR="003F3FC0" w:rsidRPr="0067307E" w:rsidRDefault="003F3FC0" w:rsidP="00C9290E">
      <w:pPr>
        <w:spacing w:before="60" w:after="60" w:line="276" w:lineRule="auto"/>
        <w:ind w:firstLine="697"/>
        <w:jc w:val="both"/>
        <w:rPr>
          <w:i/>
        </w:rPr>
      </w:pPr>
      <w:r w:rsidRPr="0067307E">
        <w:rPr>
          <w:i/>
        </w:rPr>
        <w:t>Căn cứ Thông tư số 56/2014/TT-BTC ngày 28 tháng 04 năm 2014 của Bộ Tài chính hướng dẫn Nghị định số 177/2013/NĐ-CP ngày 14 tháng 11 năm 2013 của Chính phủ quy định chi tiết và hướng dẫn thi hành một số điều của Luật giá;</w:t>
      </w:r>
    </w:p>
    <w:p w:rsidR="003F3FC0" w:rsidRPr="0067307E" w:rsidRDefault="003F3FC0" w:rsidP="00C9290E">
      <w:pPr>
        <w:spacing w:before="60" w:after="60" w:line="276" w:lineRule="auto"/>
        <w:ind w:firstLine="697"/>
        <w:jc w:val="both"/>
        <w:rPr>
          <w:i/>
        </w:rPr>
      </w:pPr>
      <w:r w:rsidRPr="0067307E">
        <w:rPr>
          <w:i/>
        </w:rPr>
        <w:t>Căn cứ Thông tư số 233/2016/TT-BTC ngày 11 tháng 11 năm 2016 của Bộ Tài chính sửa đổi, bổ sung một số điều của Thông tư số 56/2014/TT-BTC ngày 28 tháng 04 năm 2014 của Bộ Tài chính</w:t>
      </w:r>
      <w:r w:rsidR="007C4085" w:rsidRPr="0067307E">
        <w:rPr>
          <w:i/>
        </w:rPr>
        <w:t xml:space="preserve"> hướng dẫn Nghị định số 177/2013/NĐ-CP ngày 14 tháng 11 năm 2013 của Chính phủ quy định chi tiết và hướng dẫn thi hành một số điều của Luật giá;</w:t>
      </w:r>
    </w:p>
    <w:p w:rsidR="007C4085" w:rsidRDefault="007C4085" w:rsidP="00C9290E">
      <w:pPr>
        <w:spacing w:before="60" w:after="60" w:line="276" w:lineRule="auto"/>
        <w:ind w:firstLine="697"/>
        <w:jc w:val="both"/>
        <w:rPr>
          <w:i/>
        </w:rPr>
      </w:pPr>
      <w:r w:rsidRPr="0067307E">
        <w:rPr>
          <w:i/>
        </w:rPr>
        <w:t xml:space="preserve">Theo đề nghị của Giám đốc Sở Giao </w:t>
      </w:r>
      <w:r w:rsidR="007B664D">
        <w:rPr>
          <w:i/>
        </w:rPr>
        <w:t xml:space="preserve">thông vận tải tại Tờ trình số 185/TTr-SGTVT ngày 03 </w:t>
      </w:r>
      <w:r w:rsidRPr="0067307E">
        <w:rPr>
          <w:i/>
        </w:rPr>
        <w:t xml:space="preserve">tháng </w:t>
      </w:r>
      <w:r w:rsidR="007B664D">
        <w:rPr>
          <w:i/>
        </w:rPr>
        <w:t>10</w:t>
      </w:r>
      <w:r w:rsidRPr="0067307E">
        <w:rPr>
          <w:i/>
        </w:rPr>
        <w:t xml:space="preserve">  năm 2017.</w:t>
      </w:r>
    </w:p>
    <w:p w:rsidR="007C4085" w:rsidRDefault="007C4085" w:rsidP="00C9290E">
      <w:pPr>
        <w:spacing w:before="60" w:after="60" w:line="276" w:lineRule="auto"/>
        <w:ind w:firstLine="697"/>
        <w:jc w:val="center"/>
        <w:rPr>
          <w:b/>
        </w:rPr>
      </w:pPr>
      <w:r w:rsidRPr="0067307E">
        <w:rPr>
          <w:b/>
        </w:rPr>
        <w:t>QUYẾT ĐỊNH:</w:t>
      </w:r>
    </w:p>
    <w:p w:rsidR="007C4085" w:rsidRDefault="007C4085" w:rsidP="00C9290E">
      <w:pPr>
        <w:spacing w:before="60" w:after="60" w:line="276" w:lineRule="auto"/>
        <w:ind w:firstLine="697"/>
        <w:jc w:val="both"/>
        <w:rPr>
          <w:b/>
        </w:rPr>
      </w:pPr>
      <w:r w:rsidRPr="0067307E">
        <w:rPr>
          <w:b/>
        </w:rPr>
        <w:t xml:space="preserve">Điều 1. Quy định giá dịch vụ tối đa sử dụng phà áp </w:t>
      </w:r>
      <w:r w:rsidR="006133AC">
        <w:rPr>
          <w:b/>
        </w:rPr>
        <w:t xml:space="preserve">dụng trên địa bàn tỉnh Tây </w:t>
      </w:r>
      <w:r w:rsidR="00C40939">
        <w:rPr>
          <w:b/>
        </w:rPr>
        <w:t>N</w:t>
      </w:r>
      <w:r w:rsidR="006133AC">
        <w:rPr>
          <w:b/>
        </w:rPr>
        <w:t>inh như sau:</w:t>
      </w:r>
    </w:p>
    <w:p w:rsidR="00B1172E" w:rsidRDefault="00872091" w:rsidP="00C9290E">
      <w:pPr>
        <w:spacing w:before="60" w:after="60" w:line="276" w:lineRule="auto"/>
        <w:ind w:firstLine="697"/>
        <w:jc w:val="both"/>
        <w:rPr>
          <w:b/>
        </w:rPr>
      </w:pPr>
      <w:r>
        <w:rPr>
          <w:b/>
        </w:rPr>
        <w:t>1</w:t>
      </w:r>
      <w:r w:rsidR="006133AC">
        <w:rPr>
          <w:b/>
        </w:rPr>
        <w:t>. Giá dịch vụ tố</w:t>
      </w:r>
      <w:r w:rsidR="00C40939">
        <w:rPr>
          <w:b/>
        </w:rPr>
        <w:t>i</w:t>
      </w:r>
      <w:r w:rsidR="006133AC">
        <w:rPr>
          <w:b/>
        </w:rPr>
        <w:t xml:space="preserve"> đa sử dụng phà của hành khách, các phương tiện tại các bến phà huyện Châu Thành, Tân Châu, Trảng Bàng: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667"/>
        <w:gridCol w:w="4167"/>
      </w:tblGrid>
      <w:tr w:rsidR="006133AC" w:rsidTr="00130090">
        <w:trPr>
          <w:jc w:val="center"/>
        </w:trPr>
        <w:tc>
          <w:tcPr>
            <w:tcW w:w="4667" w:type="dxa"/>
          </w:tcPr>
          <w:p w:rsidR="006133AC" w:rsidRDefault="006133AC" w:rsidP="00C9290E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4167" w:type="dxa"/>
          </w:tcPr>
          <w:p w:rsidR="006133AC" w:rsidRDefault="006133AC" w:rsidP="00C9290E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Đơn giá tối đa</w:t>
            </w:r>
          </w:p>
        </w:tc>
      </w:tr>
      <w:tr w:rsidR="006133AC" w:rsidRPr="00F34109" w:rsidTr="00130090">
        <w:trPr>
          <w:jc w:val="center"/>
        </w:trPr>
        <w:tc>
          <w:tcPr>
            <w:tcW w:w="4667" w:type="dxa"/>
            <w:vAlign w:val="center"/>
          </w:tcPr>
          <w:p w:rsidR="006133AC" w:rsidRPr="00F34109" w:rsidRDefault="006133AC" w:rsidP="00C9290E">
            <w:pPr>
              <w:spacing w:before="60" w:after="60" w:line="276" w:lineRule="auto"/>
            </w:pPr>
            <w:r w:rsidRPr="00F34109">
              <w:t>1. Hành khách</w:t>
            </w:r>
          </w:p>
        </w:tc>
        <w:tc>
          <w:tcPr>
            <w:tcW w:w="4167" w:type="dxa"/>
            <w:vAlign w:val="center"/>
          </w:tcPr>
          <w:p w:rsidR="006133AC" w:rsidRPr="00F34109" w:rsidRDefault="006133AC" w:rsidP="00C9290E">
            <w:pPr>
              <w:spacing w:before="60" w:after="60" w:line="276" w:lineRule="auto"/>
            </w:pPr>
            <w:r w:rsidRPr="00F34109">
              <w:t>3.000 đồng/người/lượt</w:t>
            </w:r>
          </w:p>
        </w:tc>
      </w:tr>
      <w:tr w:rsidR="006133AC" w:rsidRPr="00F34109" w:rsidTr="00130090">
        <w:trPr>
          <w:jc w:val="center"/>
        </w:trPr>
        <w:tc>
          <w:tcPr>
            <w:tcW w:w="4667" w:type="dxa"/>
            <w:vAlign w:val="center"/>
          </w:tcPr>
          <w:p w:rsidR="006133AC" w:rsidRPr="00F34109" w:rsidRDefault="006133AC" w:rsidP="00C9290E">
            <w:pPr>
              <w:spacing w:before="60" w:after="60" w:line="276" w:lineRule="auto"/>
            </w:pPr>
            <w:r w:rsidRPr="00F34109">
              <w:t>2. Xe mô tô 2 bánh, xe gắn máy</w:t>
            </w:r>
          </w:p>
        </w:tc>
        <w:tc>
          <w:tcPr>
            <w:tcW w:w="4167" w:type="dxa"/>
            <w:vAlign w:val="center"/>
          </w:tcPr>
          <w:p w:rsidR="006133AC" w:rsidRPr="00F34109" w:rsidRDefault="006133AC" w:rsidP="00C9290E">
            <w:pPr>
              <w:spacing w:before="60" w:after="60" w:line="276" w:lineRule="auto"/>
            </w:pPr>
            <w:r w:rsidRPr="00F34109">
              <w:t>4.000 đồng/chiếc/lượt</w:t>
            </w:r>
          </w:p>
        </w:tc>
      </w:tr>
      <w:tr w:rsidR="006133AC" w:rsidRPr="00F34109" w:rsidTr="00130090">
        <w:trPr>
          <w:jc w:val="center"/>
        </w:trPr>
        <w:tc>
          <w:tcPr>
            <w:tcW w:w="4667" w:type="dxa"/>
            <w:vAlign w:val="center"/>
          </w:tcPr>
          <w:p w:rsidR="006133AC" w:rsidRPr="00F34109" w:rsidRDefault="006133AC" w:rsidP="00C9290E">
            <w:pPr>
              <w:spacing w:before="60" w:after="60" w:line="276" w:lineRule="auto"/>
            </w:pPr>
            <w:r w:rsidRPr="00F34109">
              <w:t xml:space="preserve">3. Xe mô tô </w:t>
            </w:r>
            <w:r w:rsidR="00872091">
              <w:t>3</w:t>
            </w:r>
            <w:r w:rsidRPr="00F34109">
              <w:t xml:space="preserve"> bánh</w:t>
            </w:r>
          </w:p>
        </w:tc>
        <w:tc>
          <w:tcPr>
            <w:tcW w:w="4167" w:type="dxa"/>
            <w:vAlign w:val="center"/>
          </w:tcPr>
          <w:p w:rsidR="006133AC" w:rsidRPr="00F34109" w:rsidRDefault="00B1172E" w:rsidP="00C9290E">
            <w:pPr>
              <w:spacing w:before="60" w:after="60" w:line="276" w:lineRule="auto"/>
            </w:pPr>
            <w:r w:rsidRPr="00F34109">
              <w:t>5.000 đồng/chiếc/lượt</w:t>
            </w:r>
          </w:p>
        </w:tc>
      </w:tr>
      <w:tr w:rsidR="006133AC" w:rsidRPr="00F34109" w:rsidTr="00130090">
        <w:trPr>
          <w:jc w:val="center"/>
        </w:trPr>
        <w:tc>
          <w:tcPr>
            <w:tcW w:w="4667" w:type="dxa"/>
            <w:vAlign w:val="center"/>
          </w:tcPr>
          <w:p w:rsidR="006133AC" w:rsidRPr="00F34109" w:rsidRDefault="00B1172E" w:rsidP="00C9290E">
            <w:pPr>
              <w:spacing w:before="60" w:after="60" w:line="276" w:lineRule="auto"/>
            </w:pPr>
            <w:r w:rsidRPr="00F34109">
              <w:lastRenderedPageBreak/>
              <w:t>4. Hàng hóa</w:t>
            </w:r>
            <w:r w:rsidR="00C32FEB">
              <w:t>:</w:t>
            </w:r>
          </w:p>
        </w:tc>
        <w:tc>
          <w:tcPr>
            <w:tcW w:w="4167" w:type="dxa"/>
            <w:vAlign w:val="center"/>
          </w:tcPr>
          <w:p w:rsidR="006133AC" w:rsidRPr="00F34109" w:rsidRDefault="006133AC" w:rsidP="00C9290E">
            <w:pPr>
              <w:spacing w:before="60" w:after="60" w:line="276" w:lineRule="auto"/>
            </w:pPr>
          </w:p>
        </w:tc>
      </w:tr>
      <w:tr w:rsidR="006133AC" w:rsidRPr="00F34109" w:rsidTr="00130090">
        <w:trPr>
          <w:jc w:val="center"/>
        </w:trPr>
        <w:tc>
          <w:tcPr>
            <w:tcW w:w="4667" w:type="dxa"/>
            <w:vAlign w:val="center"/>
          </w:tcPr>
          <w:p w:rsidR="006133AC" w:rsidRPr="00F34109" w:rsidRDefault="00644A49" w:rsidP="00C9290E">
            <w:pPr>
              <w:spacing w:before="60" w:after="60" w:line="276" w:lineRule="auto"/>
              <w:ind w:firstLine="580"/>
            </w:pPr>
            <w:r>
              <w:t>a/</w:t>
            </w:r>
            <w:r w:rsidR="00B1172E" w:rsidRPr="00F34109">
              <w:t xml:space="preserve"> Từ 10 kg đến dưới 50 kg</w:t>
            </w:r>
          </w:p>
        </w:tc>
        <w:tc>
          <w:tcPr>
            <w:tcW w:w="4167" w:type="dxa"/>
            <w:vAlign w:val="center"/>
          </w:tcPr>
          <w:p w:rsidR="006133AC" w:rsidRPr="00F34109" w:rsidRDefault="00B1172E" w:rsidP="00C9290E">
            <w:pPr>
              <w:spacing w:before="60" w:after="60" w:line="276" w:lineRule="auto"/>
            </w:pPr>
            <w:r w:rsidRPr="00F34109">
              <w:t>2.000 đồng/lượt</w:t>
            </w:r>
          </w:p>
        </w:tc>
      </w:tr>
      <w:tr w:rsidR="006133AC" w:rsidRPr="00F34109" w:rsidTr="00130090">
        <w:trPr>
          <w:jc w:val="center"/>
        </w:trPr>
        <w:tc>
          <w:tcPr>
            <w:tcW w:w="4667" w:type="dxa"/>
            <w:vAlign w:val="center"/>
          </w:tcPr>
          <w:p w:rsidR="006133AC" w:rsidRPr="00F34109" w:rsidRDefault="00644A49" w:rsidP="00C9290E">
            <w:pPr>
              <w:spacing w:before="60" w:after="60" w:line="276" w:lineRule="auto"/>
              <w:ind w:firstLine="580"/>
            </w:pPr>
            <w:r>
              <w:t>b/</w:t>
            </w:r>
            <w:r w:rsidR="00B1172E" w:rsidRPr="00F34109">
              <w:t xml:space="preserve"> Từ 50 kg đến 100 kg</w:t>
            </w:r>
          </w:p>
        </w:tc>
        <w:tc>
          <w:tcPr>
            <w:tcW w:w="4167" w:type="dxa"/>
            <w:vAlign w:val="center"/>
          </w:tcPr>
          <w:p w:rsidR="006133AC" w:rsidRPr="00F34109" w:rsidRDefault="00B1172E" w:rsidP="00C9290E">
            <w:pPr>
              <w:spacing w:before="60" w:after="60" w:line="276" w:lineRule="auto"/>
            </w:pPr>
            <w:r w:rsidRPr="00F34109">
              <w:t>4.000 đồng/lượt</w:t>
            </w:r>
          </w:p>
        </w:tc>
      </w:tr>
      <w:tr w:rsidR="006133AC" w:rsidRPr="00F34109" w:rsidTr="00130090">
        <w:trPr>
          <w:jc w:val="center"/>
        </w:trPr>
        <w:tc>
          <w:tcPr>
            <w:tcW w:w="4667" w:type="dxa"/>
            <w:vAlign w:val="center"/>
          </w:tcPr>
          <w:p w:rsidR="006133AC" w:rsidRPr="00F34109" w:rsidRDefault="00644A49" w:rsidP="00C9290E">
            <w:pPr>
              <w:spacing w:before="60" w:after="60" w:line="276" w:lineRule="auto"/>
              <w:ind w:firstLine="580"/>
            </w:pPr>
            <w:r>
              <w:t>c/</w:t>
            </w:r>
            <w:r w:rsidR="00B1172E" w:rsidRPr="00F34109">
              <w:t xml:space="preserve"> Trên 100 kg đến 200 kg</w:t>
            </w:r>
          </w:p>
        </w:tc>
        <w:tc>
          <w:tcPr>
            <w:tcW w:w="4167" w:type="dxa"/>
            <w:vAlign w:val="center"/>
          </w:tcPr>
          <w:p w:rsidR="006133AC" w:rsidRPr="00F34109" w:rsidRDefault="00B1172E" w:rsidP="00C9290E">
            <w:pPr>
              <w:spacing w:before="60" w:after="60" w:line="276" w:lineRule="auto"/>
            </w:pPr>
            <w:r w:rsidRPr="00F34109">
              <w:t>6.000 đồng/lượt</w:t>
            </w:r>
          </w:p>
        </w:tc>
      </w:tr>
      <w:tr w:rsidR="006133AC" w:rsidRPr="00F34109" w:rsidTr="00130090">
        <w:trPr>
          <w:jc w:val="center"/>
        </w:trPr>
        <w:tc>
          <w:tcPr>
            <w:tcW w:w="4667" w:type="dxa"/>
            <w:vAlign w:val="center"/>
          </w:tcPr>
          <w:p w:rsidR="006133AC" w:rsidRPr="00F34109" w:rsidRDefault="00644A49" w:rsidP="00C9290E">
            <w:pPr>
              <w:spacing w:before="60" w:after="60" w:line="276" w:lineRule="auto"/>
              <w:ind w:firstLine="580"/>
            </w:pPr>
            <w:r>
              <w:t>d/</w:t>
            </w:r>
            <w:r w:rsidR="00B1172E" w:rsidRPr="00F34109">
              <w:t xml:space="preserve"> Trên 200 kg đến 300 kg</w:t>
            </w:r>
          </w:p>
        </w:tc>
        <w:tc>
          <w:tcPr>
            <w:tcW w:w="4167" w:type="dxa"/>
            <w:vAlign w:val="center"/>
          </w:tcPr>
          <w:p w:rsidR="006133AC" w:rsidRPr="00F34109" w:rsidRDefault="00B1172E" w:rsidP="00C9290E">
            <w:pPr>
              <w:spacing w:before="60" w:after="60" w:line="276" w:lineRule="auto"/>
            </w:pPr>
            <w:r w:rsidRPr="00F34109">
              <w:t>8.000 đồng/lượt</w:t>
            </w:r>
          </w:p>
        </w:tc>
      </w:tr>
      <w:tr w:rsidR="006133AC" w:rsidRPr="00F34109" w:rsidTr="00130090">
        <w:trPr>
          <w:jc w:val="center"/>
        </w:trPr>
        <w:tc>
          <w:tcPr>
            <w:tcW w:w="4667" w:type="dxa"/>
            <w:vAlign w:val="center"/>
          </w:tcPr>
          <w:p w:rsidR="006133AC" w:rsidRPr="00F34109" w:rsidRDefault="00644A49" w:rsidP="00C9290E">
            <w:pPr>
              <w:spacing w:before="60" w:after="60" w:line="276" w:lineRule="auto"/>
              <w:ind w:firstLine="580"/>
            </w:pPr>
            <w:r>
              <w:t>e/</w:t>
            </w:r>
            <w:r w:rsidR="00B1172E" w:rsidRPr="00F34109">
              <w:t xml:space="preserve"> Trên 300 kg đến 500 kg</w:t>
            </w:r>
          </w:p>
        </w:tc>
        <w:tc>
          <w:tcPr>
            <w:tcW w:w="4167" w:type="dxa"/>
            <w:vAlign w:val="center"/>
          </w:tcPr>
          <w:p w:rsidR="006133AC" w:rsidRPr="00F34109" w:rsidRDefault="00B1172E" w:rsidP="00C9290E">
            <w:pPr>
              <w:spacing w:before="60" w:after="60" w:line="276" w:lineRule="auto"/>
            </w:pPr>
            <w:r w:rsidRPr="00F34109">
              <w:t>10.000 đồng/lượt</w:t>
            </w:r>
          </w:p>
        </w:tc>
      </w:tr>
      <w:tr w:rsidR="00B1172E" w:rsidRPr="00F34109" w:rsidTr="00130090">
        <w:trPr>
          <w:jc w:val="center"/>
        </w:trPr>
        <w:tc>
          <w:tcPr>
            <w:tcW w:w="4667" w:type="dxa"/>
            <w:vAlign w:val="center"/>
          </w:tcPr>
          <w:p w:rsidR="00B1172E" w:rsidRPr="00F34109" w:rsidRDefault="007E76B7" w:rsidP="00C9290E">
            <w:pPr>
              <w:spacing w:before="60" w:after="60" w:line="276" w:lineRule="auto"/>
              <w:ind w:firstLine="580"/>
            </w:pPr>
            <w:r>
              <w:t>g</w:t>
            </w:r>
            <w:r w:rsidR="00644A49">
              <w:t>/</w:t>
            </w:r>
            <w:r w:rsidR="00B1172E" w:rsidRPr="00F34109">
              <w:t xml:space="preserve"> Trên 500 kg đến 2.000 kg</w:t>
            </w:r>
          </w:p>
        </w:tc>
        <w:tc>
          <w:tcPr>
            <w:tcW w:w="4167" w:type="dxa"/>
            <w:vAlign w:val="center"/>
          </w:tcPr>
          <w:p w:rsidR="00B1172E" w:rsidRPr="00F34109" w:rsidRDefault="00B1172E" w:rsidP="00C9290E">
            <w:pPr>
              <w:spacing w:before="60" w:after="60" w:line="276" w:lineRule="auto"/>
            </w:pPr>
            <w:r w:rsidRPr="00F34109">
              <w:t>20.000 đồng/lượt</w:t>
            </w:r>
          </w:p>
        </w:tc>
      </w:tr>
      <w:tr w:rsidR="00B1172E" w:rsidRPr="00F34109" w:rsidTr="00130090">
        <w:trPr>
          <w:jc w:val="center"/>
        </w:trPr>
        <w:tc>
          <w:tcPr>
            <w:tcW w:w="4667" w:type="dxa"/>
            <w:vAlign w:val="center"/>
          </w:tcPr>
          <w:p w:rsidR="00B1172E" w:rsidRPr="00F34109" w:rsidRDefault="007E76B7" w:rsidP="00C9290E">
            <w:pPr>
              <w:spacing w:before="60" w:after="60" w:line="276" w:lineRule="auto"/>
              <w:ind w:firstLine="580"/>
            </w:pPr>
            <w:r>
              <w:t>h</w:t>
            </w:r>
            <w:r w:rsidR="00644A49">
              <w:t>/</w:t>
            </w:r>
            <w:r w:rsidR="00B1172E" w:rsidRPr="00F34109">
              <w:t xml:space="preserve"> Trên 2.000 kg đến 5.000 kg</w:t>
            </w:r>
          </w:p>
        </w:tc>
        <w:tc>
          <w:tcPr>
            <w:tcW w:w="4167" w:type="dxa"/>
            <w:vAlign w:val="center"/>
          </w:tcPr>
          <w:p w:rsidR="00B1172E" w:rsidRPr="00F34109" w:rsidRDefault="00B1172E" w:rsidP="00C9290E">
            <w:pPr>
              <w:spacing w:before="60" w:after="60" w:line="276" w:lineRule="auto"/>
            </w:pPr>
            <w:r w:rsidRPr="00F34109">
              <w:t>30.000 đồng/lượt</w:t>
            </w:r>
          </w:p>
        </w:tc>
      </w:tr>
    </w:tbl>
    <w:p w:rsidR="006133AC" w:rsidRPr="00F34109" w:rsidRDefault="00B1172E" w:rsidP="00C9290E">
      <w:pPr>
        <w:spacing w:before="120" w:after="120" w:line="276" w:lineRule="auto"/>
        <w:ind w:firstLine="697"/>
      </w:pPr>
      <w:r w:rsidRPr="00F34109">
        <w:t>(</w:t>
      </w:r>
      <w:r w:rsidR="00644A49">
        <w:t>Đối tượng được miễn khi sử dụng dịch vụ phà</w:t>
      </w:r>
      <w:r w:rsidRPr="00F34109">
        <w:t>: trẻ em dưới 6 tuổi, người già trên 75 tuổi</w:t>
      </w:r>
      <w:r w:rsidR="00C40939">
        <w:t>, người khuyết tật</w:t>
      </w:r>
      <w:r w:rsidRPr="00F34109">
        <w:t>)</w:t>
      </w:r>
      <w:r w:rsidR="00C9290E">
        <w:t>.</w:t>
      </w:r>
    </w:p>
    <w:p w:rsidR="006133AC" w:rsidRDefault="00B1172E" w:rsidP="00C9290E">
      <w:pPr>
        <w:spacing w:before="200" w:after="120" w:line="276" w:lineRule="auto"/>
        <w:ind w:firstLine="697"/>
        <w:jc w:val="both"/>
        <w:rPr>
          <w:b/>
        </w:rPr>
      </w:pPr>
      <w:r>
        <w:rPr>
          <w:b/>
        </w:rPr>
        <w:t>2. Giá dịch vụ tối đa sử dụng phà của các phương tiện tại bến phà Năm Chỉ - huyện Tân Biên: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5873"/>
        <w:gridCol w:w="3071"/>
      </w:tblGrid>
      <w:tr w:rsidR="00B1172E">
        <w:trPr>
          <w:jc w:val="center"/>
        </w:trPr>
        <w:tc>
          <w:tcPr>
            <w:tcW w:w="5873" w:type="dxa"/>
          </w:tcPr>
          <w:p w:rsidR="00B1172E" w:rsidRDefault="00B1172E" w:rsidP="00C9290E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3071" w:type="dxa"/>
          </w:tcPr>
          <w:p w:rsidR="00B1172E" w:rsidRDefault="00B1172E" w:rsidP="00C9290E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Đơn giá tối đa</w:t>
            </w:r>
          </w:p>
        </w:tc>
      </w:tr>
      <w:tr w:rsidR="00B1172E" w:rsidRPr="00B1172E">
        <w:trPr>
          <w:jc w:val="center"/>
        </w:trPr>
        <w:tc>
          <w:tcPr>
            <w:tcW w:w="5873" w:type="dxa"/>
            <w:vAlign w:val="center"/>
          </w:tcPr>
          <w:p w:rsidR="00B1172E" w:rsidRPr="00B1172E" w:rsidRDefault="00F34109" w:rsidP="00C9290E">
            <w:pPr>
              <w:spacing w:before="60" w:after="60" w:line="276" w:lineRule="auto"/>
            </w:pPr>
            <w:r>
              <w:t>1</w:t>
            </w:r>
            <w:r w:rsidR="00B1172E" w:rsidRPr="00B1172E">
              <w:t>. Xe đạp</w:t>
            </w:r>
          </w:p>
        </w:tc>
        <w:tc>
          <w:tcPr>
            <w:tcW w:w="3071" w:type="dxa"/>
            <w:vAlign w:val="center"/>
          </w:tcPr>
          <w:p w:rsidR="00B1172E" w:rsidRPr="00B1172E" w:rsidRDefault="00B1172E" w:rsidP="00C9290E">
            <w:pPr>
              <w:spacing w:before="60" w:after="60" w:line="276" w:lineRule="auto"/>
            </w:pPr>
            <w:r w:rsidRPr="00B1172E">
              <w:t>2.000 đồng/chiếc/lượt</w:t>
            </w:r>
          </w:p>
        </w:tc>
      </w:tr>
      <w:tr w:rsidR="00B1172E" w:rsidRPr="00B1172E">
        <w:trPr>
          <w:jc w:val="center"/>
        </w:trPr>
        <w:tc>
          <w:tcPr>
            <w:tcW w:w="5873" w:type="dxa"/>
            <w:vAlign w:val="center"/>
          </w:tcPr>
          <w:p w:rsidR="00B1172E" w:rsidRPr="00B1172E" w:rsidRDefault="00F34109" w:rsidP="00C9290E">
            <w:pPr>
              <w:spacing w:before="60" w:after="60" w:line="276" w:lineRule="auto"/>
            </w:pPr>
            <w:r>
              <w:t>2</w:t>
            </w:r>
            <w:r w:rsidR="00B1172E" w:rsidRPr="00B1172E">
              <w:t>. Xe mô tô, xe gắn máy (không hàng)</w:t>
            </w:r>
          </w:p>
        </w:tc>
        <w:tc>
          <w:tcPr>
            <w:tcW w:w="3071" w:type="dxa"/>
            <w:vAlign w:val="center"/>
          </w:tcPr>
          <w:p w:rsidR="00B1172E" w:rsidRPr="00B1172E" w:rsidRDefault="00B1172E" w:rsidP="00C9290E">
            <w:pPr>
              <w:spacing w:before="60" w:after="60" w:line="276" w:lineRule="auto"/>
            </w:pPr>
            <w:r w:rsidRPr="00B1172E">
              <w:t>4.000 đồng/chiếc/lượt</w:t>
            </w:r>
          </w:p>
        </w:tc>
      </w:tr>
      <w:tr w:rsidR="00B1172E" w:rsidRPr="00B1172E">
        <w:trPr>
          <w:jc w:val="center"/>
        </w:trPr>
        <w:tc>
          <w:tcPr>
            <w:tcW w:w="5873" w:type="dxa"/>
            <w:vAlign w:val="center"/>
          </w:tcPr>
          <w:p w:rsidR="00B1172E" w:rsidRPr="00B1172E" w:rsidRDefault="00F34109" w:rsidP="00C9290E">
            <w:pPr>
              <w:spacing w:before="60" w:after="60" w:line="276" w:lineRule="auto"/>
            </w:pPr>
            <w:r>
              <w:t>3</w:t>
            </w:r>
            <w:r w:rsidR="00B1172E" w:rsidRPr="00B1172E">
              <w:t>. Xe mô tô, xe gắn máy (có hàng)</w:t>
            </w:r>
          </w:p>
        </w:tc>
        <w:tc>
          <w:tcPr>
            <w:tcW w:w="3071" w:type="dxa"/>
            <w:vAlign w:val="center"/>
          </w:tcPr>
          <w:p w:rsidR="00B1172E" w:rsidRPr="00B1172E" w:rsidRDefault="00B1172E" w:rsidP="00C9290E">
            <w:pPr>
              <w:spacing w:before="60" w:after="60" w:line="276" w:lineRule="auto"/>
            </w:pPr>
            <w:r w:rsidRPr="00B1172E">
              <w:t>14.000 đồng/chiếc/lượt</w:t>
            </w:r>
          </w:p>
        </w:tc>
      </w:tr>
      <w:tr w:rsidR="00B1172E" w:rsidRPr="00B1172E">
        <w:trPr>
          <w:jc w:val="center"/>
        </w:trPr>
        <w:tc>
          <w:tcPr>
            <w:tcW w:w="5873" w:type="dxa"/>
            <w:vAlign w:val="center"/>
          </w:tcPr>
          <w:p w:rsidR="00B1172E" w:rsidRPr="00B1172E" w:rsidRDefault="00F34109" w:rsidP="00C9290E">
            <w:pPr>
              <w:spacing w:before="60" w:after="60" w:line="276" w:lineRule="auto"/>
            </w:pPr>
            <w:r>
              <w:t>4</w:t>
            </w:r>
            <w:r w:rsidR="00B1172E" w:rsidRPr="00B1172E">
              <w:t>. Xe thô sơ các loại, xe tải &lt;2 tấn (không hàng)</w:t>
            </w:r>
          </w:p>
        </w:tc>
        <w:tc>
          <w:tcPr>
            <w:tcW w:w="3071" w:type="dxa"/>
            <w:vAlign w:val="center"/>
          </w:tcPr>
          <w:p w:rsidR="00B1172E" w:rsidRPr="00B1172E" w:rsidRDefault="00B1172E" w:rsidP="00C9290E">
            <w:pPr>
              <w:spacing w:before="60" w:after="60" w:line="276" w:lineRule="auto"/>
            </w:pPr>
            <w:r w:rsidRPr="00B1172E">
              <w:t>20.000 đồng/chiếc/lượt</w:t>
            </w:r>
          </w:p>
        </w:tc>
      </w:tr>
      <w:tr w:rsidR="00B1172E" w:rsidRPr="00B1172E">
        <w:trPr>
          <w:jc w:val="center"/>
        </w:trPr>
        <w:tc>
          <w:tcPr>
            <w:tcW w:w="5873" w:type="dxa"/>
            <w:vAlign w:val="center"/>
          </w:tcPr>
          <w:p w:rsidR="00B1172E" w:rsidRPr="00B1172E" w:rsidRDefault="00F34109" w:rsidP="00C9290E">
            <w:pPr>
              <w:spacing w:before="60" w:after="60" w:line="276" w:lineRule="auto"/>
            </w:pPr>
            <w:r>
              <w:t>5</w:t>
            </w:r>
            <w:r w:rsidR="00B1172E" w:rsidRPr="00B1172E">
              <w:t>. Xe thô sơ các loại, xe tải &lt;2 tấn (có hàng)</w:t>
            </w:r>
          </w:p>
        </w:tc>
        <w:tc>
          <w:tcPr>
            <w:tcW w:w="3071" w:type="dxa"/>
            <w:vAlign w:val="center"/>
          </w:tcPr>
          <w:p w:rsidR="00B1172E" w:rsidRPr="00B1172E" w:rsidRDefault="00B1172E" w:rsidP="00C9290E">
            <w:pPr>
              <w:spacing w:before="60" w:after="60" w:line="276" w:lineRule="auto"/>
            </w:pPr>
            <w:r w:rsidRPr="00B1172E">
              <w:t>100.000 đồng/chiếc/lượt</w:t>
            </w:r>
          </w:p>
        </w:tc>
      </w:tr>
      <w:tr w:rsidR="00B1172E" w:rsidRPr="00B1172E">
        <w:trPr>
          <w:jc w:val="center"/>
        </w:trPr>
        <w:tc>
          <w:tcPr>
            <w:tcW w:w="5873" w:type="dxa"/>
            <w:vAlign w:val="center"/>
          </w:tcPr>
          <w:p w:rsidR="00B1172E" w:rsidRPr="00B1172E" w:rsidRDefault="00F34109" w:rsidP="00C9290E">
            <w:pPr>
              <w:spacing w:before="60" w:after="60" w:line="276" w:lineRule="auto"/>
            </w:pPr>
            <w:r>
              <w:t>6</w:t>
            </w:r>
            <w:r w:rsidR="00B1172E" w:rsidRPr="00B1172E">
              <w:t>. Xe máy kéo (kể cả có giàn cày, rơmoóc), xe tải các loại (không hàng)</w:t>
            </w:r>
          </w:p>
        </w:tc>
        <w:tc>
          <w:tcPr>
            <w:tcW w:w="3071" w:type="dxa"/>
            <w:vAlign w:val="center"/>
          </w:tcPr>
          <w:p w:rsidR="00B1172E" w:rsidRPr="00B1172E" w:rsidRDefault="00B1172E" w:rsidP="00C9290E">
            <w:pPr>
              <w:spacing w:before="60" w:after="60" w:line="276" w:lineRule="auto"/>
            </w:pPr>
            <w:r w:rsidRPr="00B1172E">
              <w:t>100.000 đồng/chiếc/lượt</w:t>
            </w:r>
          </w:p>
        </w:tc>
      </w:tr>
      <w:tr w:rsidR="00B1172E" w:rsidRPr="00B1172E">
        <w:trPr>
          <w:jc w:val="center"/>
        </w:trPr>
        <w:tc>
          <w:tcPr>
            <w:tcW w:w="5873" w:type="dxa"/>
            <w:vAlign w:val="center"/>
          </w:tcPr>
          <w:p w:rsidR="00B1172E" w:rsidRPr="00B1172E" w:rsidRDefault="00F34109" w:rsidP="00C9290E">
            <w:pPr>
              <w:spacing w:before="60" w:after="60" w:line="276" w:lineRule="auto"/>
            </w:pPr>
            <w:r>
              <w:t>7</w:t>
            </w:r>
            <w:r w:rsidR="00B1172E" w:rsidRPr="00B1172E">
              <w:t>. Xe máy kéo (kể cả có giàn cày, rơmoóc), xe tải các loại (có hàng)</w:t>
            </w:r>
          </w:p>
        </w:tc>
        <w:tc>
          <w:tcPr>
            <w:tcW w:w="3071" w:type="dxa"/>
            <w:vAlign w:val="center"/>
          </w:tcPr>
          <w:p w:rsidR="00B1172E" w:rsidRPr="00B1172E" w:rsidRDefault="00B1172E" w:rsidP="00C9290E">
            <w:pPr>
              <w:spacing w:before="60" w:after="60" w:line="276" w:lineRule="auto"/>
            </w:pPr>
            <w:r w:rsidRPr="00B1172E">
              <w:t>200.000 đồng/chiếc/lượt</w:t>
            </w:r>
          </w:p>
        </w:tc>
      </w:tr>
      <w:tr w:rsidR="00B1172E" w:rsidRPr="00B1172E">
        <w:trPr>
          <w:jc w:val="center"/>
        </w:trPr>
        <w:tc>
          <w:tcPr>
            <w:tcW w:w="5873" w:type="dxa"/>
            <w:vAlign w:val="center"/>
          </w:tcPr>
          <w:p w:rsidR="00B1172E" w:rsidRPr="00B1172E" w:rsidRDefault="00F34109" w:rsidP="00C9290E">
            <w:pPr>
              <w:spacing w:before="60" w:after="60" w:line="276" w:lineRule="auto"/>
            </w:pPr>
            <w:r>
              <w:t>8</w:t>
            </w:r>
            <w:r w:rsidR="00B1172E" w:rsidRPr="00B1172E">
              <w:t>. Máy ủi, máy xúc các loại</w:t>
            </w:r>
          </w:p>
        </w:tc>
        <w:tc>
          <w:tcPr>
            <w:tcW w:w="3071" w:type="dxa"/>
            <w:vAlign w:val="center"/>
          </w:tcPr>
          <w:p w:rsidR="00B1172E" w:rsidRPr="00B1172E" w:rsidRDefault="00B1172E" w:rsidP="00C9290E">
            <w:pPr>
              <w:spacing w:before="60" w:after="60" w:line="276" w:lineRule="auto"/>
            </w:pPr>
            <w:r w:rsidRPr="00B1172E">
              <w:t>100.000 đồng/chiếc/lượt</w:t>
            </w:r>
          </w:p>
        </w:tc>
      </w:tr>
      <w:tr w:rsidR="00B1172E" w:rsidRPr="00B1172E">
        <w:trPr>
          <w:jc w:val="center"/>
        </w:trPr>
        <w:tc>
          <w:tcPr>
            <w:tcW w:w="5873" w:type="dxa"/>
            <w:vAlign w:val="center"/>
          </w:tcPr>
          <w:p w:rsidR="00B1172E" w:rsidRPr="00B1172E" w:rsidRDefault="00F34109" w:rsidP="00C9290E">
            <w:pPr>
              <w:spacing w:before="60" w:after="60" w:line="276" w:lineRule="auto"/>
            </w:pPr>
            <w:r>
              <w:t>9</w:t>
            </w:r>
            <w:r w:rsidR="00B1172E" w:rsidRPr="00B1172E">
              <w:t>. Xe ô tô các loại</w:t>
            </w:r>
          </w:p>
        </w:tc>
        <w:tc>
          <w:tcPr>
            <w:tcW w:w="3071" w:type="dxa"/>
            <w:vAlign w:val="center"/>
          </w:tcPr>
          <w:p w:rsidR="00B1172E" w:rsidRPr="00B1172E" w:rsidRDefault="00B1172E" w:rsidP="00C9290E">
            <w:pPr>
              <w:spacing w:before="60" w:after="60" w:line="276" w:lineRule="auto"/>
            </w:pPr>
            <w:r w:rsidRPr="00B1172E">
              <w:t>50.000 đồng/chiếc/lượt</w:t>
            </w:r>
          </w:p>
        </w:tc>
      </w:tr>
    </w:tbl>
    <w:p w:rsidR="007C4085" w:rsidRPr="0067307E" w:rsidRDefault="007C4085" w:rsidP="00C9290E">
      <w:pPr>
        <w:spacing w:before="200" w:after="120" w:line="276" w:lineRule="auto"/>
        <w:ind w:firstLine="697"/>
        <w:jc w:val="both"/>
        <w:rPr>
          <w:b/>
        </w:rPr>
      </w:pPr>
      <w:r w:rsidRPr="0067307E">
        <w:rPr>
          <w:b/>
        </w:rPr>
        <w:t>Điều 2. Trách nhiệm của tổ</w:t>
      </w:r>
      <w:r w:rsidR="006133AC">
        <w:rPr>
          <w:b/>
        </w:rPr>
        <w:t xml:space="preserve"> chức, cá nhân cung</w:t>
      </w:r>
      <w:r w:rsidR="007B664D">
        <w:rPr>
          <w:b/>
        </w:rPr>
        <w:t xml:space="preserve"> cấp dịch vụ</w:t>
      </w:r>
    </w:p>
    <w:p w:rsidR="007C4085" w:rsidRPr="0067307E" w:rsidRDefault="007E76B7" w:rsidP="00C9290E">
      <w:pPr>
        <w:spacing w:before="200" w:after="120" w:line="276" w:lineRule="auto"/>
        <w:ind w:firstLine="697"/>
        <w:jc w:val="both"/>
      </w:pPr>
      <w:r>
        <w:t>1.</w:t>
      </w:r>
      <w:r w:rsidR="00573CE0" w:rsidRPr="0067307E">
        <w:t xml:space="preserve"> </w:t>
      </w:r>
      <w:r w:rsidR="007C4085" w:rsidRPr="0067307E">
        <w:t xml:space="preserve">Tổ chức và cá nhân thu giá dịch vụ sử dụng phà do Nhà nước đầu tư </w:t>
      </w:r>
      <w:r w:rsidR="00573CE0" w:rsidRPr="0067307E">
        <w:t>và không do nhà nước đầu tư có trách nhiệm quản lý nguồn thu dịch vụ theo quy định hiện hành.</w:t>
      </w:r>
    </w:p>
    <w:p w:rsidR="00573CE0" w:rsidRPr="0067307E" w:rsidRDefault="007E76B7" w:rsidP="00C9290E">
      <w:pPr>
        <w:spacing w:before="120" w:after="120" w:line="276" w:lineRule="auto"/>
        <w:ind w:firstLine="697"/>
        <w:jc w:val="both"/>
      </w:pPr>
      <w:r>
        <w:t>2.</w:t>
      </w:r>
      <w:r w:rsidR="00573CE0" w:rsidRPr="0067307E">
        <w:t xml:space="preserve"> Giá dịch vụ sử dụng phà cụ thể đảm bảo không vượt quá giá tối đa quy định tại </w:t>
      </w:r>
      <w:r w:rsidR="007B664D">
        <w:t>Điều 1 Q</w:t>
      </w:r>
      <w:r w:rsidR="00573CE0" w:rsidRPr="0067307E">
        <w:t>uyết định này, đồng thời niêm yết công khai và tổ chức thu đúng giá đã được niêm yết.</w:t>
      </w:r>
    </w:p>
    <w:p w:rsidR="00573CE0" w:rsidRPr="0067307E" w:rsidRDefault="00573CE0" w:rsidP="00C9290E">
      <w:pPr>
        <w:spacing w:before="60" w:after="60" w:line="276" w:lineRule="auto"/>
        <w:ind w:firstLine="697"/>
        <w:jc w:val="both"/>
        <w:rPr>
          <w:b/>
        </w:rPr>
      </w:pPr>
      <w:r w:rsidRPr="0067307E">
        <w:rPr>
          <w:b/>
        </w:rPr>
        <w:lastRenderedPageBreak/>
        <w:t>Điều 3. Hiệu lực thi hành</w:t>
      </w:r>
    </w:p>
    <w:p w:rsidR="00573CE0" w:rsidRPr="0067307E" w:rsidRDefault="00573CE0" w:rsidP="00C9290E">
      <w:pPr>
        <w:spacing w:before="60" w:after="60" w:line="276" w:lineRule="auto"/>
        <w:ind w:firstLine="697"/>
        <w:jc w:val="both"/>
      </w:pPr>
      <w:r w:rsidRPr="0067307E">
        <w:t>Quyết định này có hiệu lực thi hành kể từ ngày</w:t>
      </w:r>
      <w:r w:rsidR="006133AC">
        <w:t xml:space="preserve"> </w:t>
      </w:r>
      <w:r w:rsidR="00254AD6">
        <w:t>27/10</w:t>
      </w:r>
      <w:r w:rsidR="007B664D">
        <w:t>/2017</w:t>
      </w:r>
      <w:r w:rsidR="006133AC">
        <w:t xml:space="preserve"> </w:t>
      </w:r>
      <w:r w:rsidRPr="0067307E">
        <w:t xml:space="preserve">và thay thế Quyết định số 67/2016/QĐ-UBND ngày 20/12/2016 của Ủy ban nhân dân tỉnh Tây </w:t>
      </w:r>
      <w:r w:rsidR="00C40939">
        <w:t>N</w:t>
      </w:r>
      <w:r w:rsidRPr="0067307E">
        <w:t>inh về việc quy định giá dịch vụ qua phà áp dụng trên địa bàn tỉnh Tây Ninh.</w:t>
      </w:r>
    </w:p>
    <w:p w:rsidR="00573CE0" w:rsidRPr="0067307E" w:rsidRDefault="007B664D" w:rsidP="00C9290E">
      <w:pPr>
        <w:spacing w:before="60" w:after="60" w:line="276" w:lineRule="auto"/>
        <w:ind w:firstLine="697"/>
        <w:jc w:val="both"/>
        <w:rPr>
          <w:b/>
        </w:rPr>
      </w:pPr>
      <w:r>
        <w:rPr>
          <w:b/>
        </w:rPr>
        <w:t>Điều 4. Tổ chức thực hiện</w:t>
      </w:r>
    </w:p>
    <w:p w:rsidR="0067307E" w:rsidRPr="0067307E" w:rsidRDefault="00573CE0" w:rsidP="00C9290E">
      <w:pPr>
        <w:spacing w:before="60" w:after="60" w:line="276" w:lineRule="auto"/>
        <w:ind w:firstLine="697"/>
        <w:jc w:val="both"/>
      </w:pPr>
      <w:r w:rsidRPr="0067307E">
        <w:t>Chánh Văn phòng Ủy ban nhân dân tỉnh, Giám đốc Sở Giao thông v</w:t>
      </w:r>
      <w:r w:rsidR="0067307E">
        <w:t xml:space="preserve">ận tải; </w:t>
      </w:r>
      <w:r w:rsidR="007B664D">
        <w:t xml:space="preserve"> Thủ trưởng các s</w:t>
      </w:r>
      <w:r w:rsidR="00CF3581">
        <w:t xml:space="preserve">ở, </w:t>
      </w:r>
      <w:r w:rsidR="007B664D">
        <w:t>n</w:t>
      </w:r>
      <w:r w:rsidRPr="0067307E">
        <w:t xml:space="preserve">gành có liên quan; Chủ tịch Ủy </w:t>
      </w:r>
      <w:r w:rsidR="0067307E" w:rsidRPr="0067307E">
        <w:t>ban nhân dân các huyện</w:t>
      </w:r>
      <w:r w:rsidR="00C9290E">
        <w:t xml:space="preserve">: </w:t>
      </w:r>
      <w:r w:rsidR="00C9290E" w:rsidRPr="00C9290E">
        <w:t>Châu Thành, Tân Châu, Trảng Bàng</w:t>
      </w:r>
      <w:r w:rsidR="00C9290E">
        <w:t>, Tân Biên</w:t>
      </w:r>
      <w:r w:rsidR="0067307E" w:rsidRPr="0067307E">
        <w:t xml:space="preserve"> và các cơ quan, tổ chức, cá nhân có liên quan chịu trách nhiệm thi hành Quyết định này./.</w:t>
      </w:r>
    </w:p>
    <w:p w:rsidR="0067307E" w:rsidRPr="0067307E" w:rsidRDefault="0067307E" w:rsidP="00573CE0"/>
    <w:tbl>
      <w:tblPr>
        <w:tblStyle w:val="TableGrid"/>
        <w:tblW w:w="94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02"/>
        <w:gridCol w:w="4136"/>
      </w:tblGrid>
      <w:tr w:rsidR="0067307E">
        <w:trPr>
          <w:jc w:val="center"/>
        </w:trPr>
        <w:tc>
          <w:tcPr>
            <w:tcW w:w="5302" w:type="dxa"/>
          </w:tcPr>
          <w:p w:rsidR="0067307E" w:rsidRPr="0067307E" w:rsidRDefault="0067307E" w:rsidP="00573CE0">
            <w:pPr>
              <w:rPr>
                <w:b/>
                <w:sz w:val="24"/>
                <w:szCs w:val="24"/>
              </w:rPr>
            </w:pPr>
            <w:r w:rsidRPr="0067307E">
              <w:rPr>
                <w:b/>
                <w:sz w:val="24"/>
                <w:szCs w:val="24"/>
              </w:rPr>
              <w:t>Nơi nhận:</w:t>
            </w:r>
          </w:p>
          <w:p w:rsidR="0067307E" w:rsidRPr="0067307E" w:rsidRDefault="0067307E" w:rsidP="00573CE0">
            <w:pPr>
              <w:rPr>
                <w:sz w:val="20"/>
                <w:szCs w:val="20"/>
              </w:rPr>
            </w:pPr>
            <w:r w:rsidRPr="0067307E">
              <w:rPr>
                <w:sz w:val="20"/>
                <w:szCs w:val="20"/>
              </w:rPr>
              <w:t>- Văn phòng Chính phủ;</w:t>
            </w:r>
          </w:p>
          <w:p w:rsidR="0067307E" w:rsidRPr="0067307E" w:rsidRDefault="0067307E" w:rsidP="00573CE0">
            <w:pPr>
              <w:rPr>
                <w:sz w:val="20"/>
                <w:szCs w:val="20"/>
              </w:rPr>
            </w:pPr>
            <w:r w:rsidRPr="0067307E">
              <w:rPr>
                <w:sz w:val="20"/>
                <w:szCs w:val="20"/>
              </w:rPr>
              <w:t>- Bộ Tài chính;</w:t>
            </w:r>
          </w:p>
          <w:p w:rsidR="0067307E" w:rsidRPr="0067307E" w:rsidRDefault="0067307E" w:rsidP="00573CE0">
            <w:pPr>
              <w:rPr>
                <w:sz w:val="20"/>
                <w:szCs w:val="20"/>
              </w:rPr>
            </w:pPr>
            <w:r w:rsidRPr="0067307E">
              <w:rPr>
                <w:sz w:val="20"/>
                <w:szCs w:val="20"/>
              </w:rPr>
              <w:t>- Bộ GTVT;</w:t>
            </w:r>
          </w:p>
          <w:p w:rsidR="0067307E" w:rsidRPr="0067307E" w:rsidRDefault="0067307E" w:rsidP="00573CE0">
            <w:pPr>
              <w:rPr>
                <w:sz w:val="20"/>
                <w:szCs w:val="20"/>
              </w:rPr>
            </w:pPr>
            <w:r w:rsidRPr="0067307E">
              <w:rPr>
                <w:sz w:val="20"/>
                <w:szCs w:val="20"/>
              </w:rPr>
              <w:t>- Vụ Pháp chế - Bộ Tài Chính;</w:t>
            </w:r>
          </w:p>
          <w:p w:rsidR="0067307E" w:rsidRPr="0067307E" w:rsidRDefault="0067307E" w:rsidP="00573CE0">
            <w:pPr>
              <w:rPr>
                <w:sz w:val="20"/>
                <w:szCs w:val="20"/>
              </w:rPr>
            </w:pPr>
            <w:r w:rsidRPr="0067307E">
              <w:rPr>
                <w:sz w:val="20"/>
                <w:szCs w:val="20"/>
              </w:rPr>
              <w:t>- Cục KTVB – Bộ Tư pháp;</w:t>
            </w:r>
          </w:p>
          <w:p w:rsidR="0067307E" w:rsidRPr="0067307E" w:rsidRDefault="0067307E" w:rsidP="00573CE0">
            <w:pPr>
              <w:rPr>
                <w:sz w:val="20"/>
                <w:szCs w:val="20"/>
              </w:rPr>
            </w:pPr>
            <w:r w:rsidRPr="0067307E">
              <w:rPr>
                <w:sz w:val="20"/>
                <w:szCs w:val="20"/>
              </w:rPr>
              <w:t>- Đoàn Đại biểu Quốc hội tỉnh;</w:t>
            </w:r>
          </w:p>
          <w:p w:rsidR="0067307E" w:rsidRPr="0067307E" w:rsidRDefault="0067307E" w:rsidP="00573CE0">
            <w:pPr>
              <w:rPr>
                <w:sz w:val="20"/>
                <w:szCs w:val="20"/>
              </w:rPr>
            </w:pPr>
            <w:r w:rsidRPr="0067307E">
              <w:rPr>
                <w:sz w:val="20"/>
                <w:szCs w:val="20"/>
              </w:rPr>
              <w:t>- TT: TU, HĐND tỉnh;</w:t>
            </w:r>
          </w:p>
          <w:p w:rsidR="0067307E" w:rsidRPr="0067307E" w:rsidRDefault="0067307E" w:rsidP="00573CE0">
            <w:pPr>
              <w:rPr>
                <w:sz w:val="20"/>
                <w:szCs w:val="20"/>
              </w:rPr>
            </w:pPr>
            <w:r w:rsidRPr="0067307E">
              <w:rPr>
                <w:sz w:val="20"/>
                <w:szCs w:val="20"/>
              </w:rPr>
              <w:t>- CT, các PCT, UBND tỉnh;</w:t>
            </w:r>
          </w:p>
          <w:p w:rsidR="0067307E" w:rsidRPr="0067307E" w:rsidRDefault="0067307E" w:rsidP="00573CE0">
            <w:pPr>
              <w:rPr>
                <w:sz w:val="20"/>
                <w:szCs w:val="20"/>
              </w:rPr>
            </w:pPr>
            <w:r w:rsidRPr="0067307E">
              <w:rPr>
                <w:sz w:val="20"/>
                <w:szCs w:val="20"/>
              </w:rPr>
              <w:t xml:space="preserve">- </w:t>
            </w:r>
            <w:r w:rsidR="00130090">
              <w:rPr>
                <w:sz w:val="20"/>
                <w:szCs w:val="20"/>
              </w:rPr>
              <w:t>Các s</w:t>
            </w:r>
            <w:r w:rsidRPr="0067307E">
              <w:rPr>
                <w:sz w:val="20"/>
                <w:szCs w:val="20"/>
              </w:rPr>
              <w:t>ở</w:t>
            </w:r>
            <w:r w:rsidR="00130090">
              <w:rPr>
                <w:sz w:val="20"/>
                <w:szCs w:val="20"/>
              </w:rPr>
              <w:t>:</w:t>
            </w:r>
            <w:r w:rsidRPr="0067307E">
              <w:rPr>
                <w:sz w:val="20"/>
                <w:szCs w:val="20"/>
              </w:rPr>
              <w:t xml:space="preserve"> </w:t>
            </w:r>
            <w:r w:rsidR="00130090">
              <w:rPr>
                <w:sz w:val="20"/>
                <w:szCs w:val="20"/>
              </w:rPr>
              <w:t>GTVT, TP, TC;</w:t>
            </w:r>
          </w:p>
          <w:p w:rsidR="0067307E" w:rsidRPr="0067307E" w:rsidRDefault="0067307E" w:rsidP="00573CE0">
            <w:pPr>
              <w:rPr>
                <w:sz w:val="20"/>
                <w:szCs w:val="20"/>
              </w:rPr>
            </w:pPr>
            <w:r w:rsidRPr="0067307E">
              <w:rPr>
                <w:sz w:val="20"/>
                <w:szCs w:val="20"/>
              </w:rPr>
              <w:t>- Như Điều 4;</w:t>
            </w:r>
          </w:p>
          <w:p w:rsidR="0067307E" w:rsidRPr="0067307E" w:rsidRDefault="0067307E" w:rsidP="00573CE0">
            <w:pPr>
              <w:rPr>
                <w:sz w:val="20"/>
                <w:szCs w:val="20"/>
              </w:rPr>
            </w:pPr>
            <w:r w:rsidRPr="0067307E">
              <w:rPr>
                <w:sz w:val="20"/>
                <w:szCs w:val="20"/>
              </w:rPr>
              <w:t>- Trung tâm Công báo tỉnh;</w:t>
            </w:r>
          </w:p>
          <w:p w:rsidR="0067307E" w:rsidRDefault="0067307E" w:rsidP="00573CE0">
            <w:r w:rsidRPr="0067307E">
              <w:rPr>
                <w:sz w:val="20"/>
                <w:szCs w:val="20"/>
              </w:rPr>
              <w:t>- Lưu: VT, VP. UBND tỉnh.</w:t>
            </w:r>
          </w:p>
        </w:tc>
        <w:tc>
          <w:tcPr>
            <w:tcW w:w="4136" w:type="dxa"/>
          </w:tcPr>
          <w:p w:rsidR="0067307E" w:rsidRPr="0067307E" w:rsidRDefault="0067307E" w:rsidP="0067307E">
            <w:pPr>
              <w:jc w:val="center"/>
              <w:rPr>
                <w:b/>
              </w:rPr>
            </w:pPr>
            <w:r w:rsidRPr="0067307E">
              <w:rPr>
                <w:b/>
              </w:rPr>
              <w:t>TM. ỦY BAN NHÂN DÂN</w:t>
            </w:r>
          </w:p>
          <w:p w:rsidR="0067307E" w:rsidRDefault="00130090" w:rsidP="0067307E">
            <w:pPr>
              <w:jc w:val="center"/>
              <w:rPr>
                <w:b/>
              </w:rPr>
            </w:pPr>
            <w:r>
              <w:rPr>
                <w:b/>
              </w:rPr>
              <w:t xml:space="preserve">KT. </w:t>
            </w:r>
            <w:r w:rsidR="0067307E" w:rsidRPr="0067307E">
              <w:rPr>
                <w:b/>
              </w:rPr>
              <w:t>CHỦ TỊCH</w:t>
            </w:r>
          </w:p>
          <w:p w:rsidR="00130090" w:rsidRDefault="00130090" w:rsidP="0067307E">
            <w:pPr>
              <w:jc w:val="center"/>
            </w:pPr>
            <w:r>
              <w:rPr>
                <w:b/>
              </w:rPr>
              <w:t>PHÓ CHỦ TỊCH</w:t>
            </w:r>
          </w:p>
        </w:tc>
      </w:tr>
    </w:tbl>
    <w:p w:rsidR="0067307E" w:rsidRDefault="0067307E" w:rsidP="00573CE0"/>
    <w:sectPr w:rsidR="0067307E" w:rsidSect="00C9290E">
      <w:headerReference w:type="default" r:id="rId6"/>
      <w:pgSz w:w="11907" w:h="16840" w:code="9"/>
      <w:pgMar w:top="1276" w:right="1134" w:bottom="426" w:left="1474" w:header="142" w:footer="14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652" w:rsidRDefault="00291652">
      <w:r>
        <w:separator/>
      </w:r>
    </w:p>
  </w:endnote>
  <w:endnote w:type="continuationSeparator" w:id="0">
    <w:p w:rsidR="00291652" w:rsidRDefault="0029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652" w:rsidRDefault="00291652">
      <w:r>
        <w:separator/>
      </w:r>
    </w:p>
  </w:footnote>
  <w:footnote w:type="continuationSeparator" w:id="0">
    <w:p w:rsidR="00291652" w:rsidRDefault="00291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90E" w:rsidRDefault="00C9290E" w:rsidP="00872091">
    <w:pPr>
      <w:pStyle w:val="Header"/>
      <w:jc w:val="center"/>
      <w:rPr>
        <w:rStyle w:val="PageNumber"/>
      </w:rPr>
    </w:pPr>
  </w:p>
  <w:p w:rsidR="00872091" w:rsidRPr="00130090" w:rsidRDefault="00872091" w:rsidP="00872091">
    <w:pPr>
      <w:pStyle w:val="Header"/>
      <w:jc w:val="center"/>
      <w:rPr>
        <w:sz w:val="26"/>
        <w:szCs w:val="26"/>
      </w:rPr>
    </w:pPr>
    <w:r w:rsidRPr="00130090">
      <w:rPr>
        <w:rStyle w:val="PageNumber"/>
        <w:sz w:val="26"/>
        <w:szCs w:val="26"/>
      </w:rPr>
      <w:fldChar w:fldCharType="begin"/>
    </w:r>
    <w:r w:rsidRPr="00130090">
      <w:rPr>
        <w:rStyle w:val="PageNumber"/>
        <w:sz w:val="26"/>
        <w:szCs w:val="26"/>
      </w:rPr>
      <w:instrText xml:space="preserve"> PAGE </w:instrText>
    </w:r>
    <w:r w:rsidRPr="00130090">
      <w:rPr>
        <w:rStyle w:val="PageNumber"/>
        <w:sz w:val="26"/>
        <w:szCs w:val="26"/>
      </w:rPr>
      <w:fldChar w:fldCharType="separate"/>
    </w:r>
    <w:r w:rsidR="006A1BE3">
      <w:rPr>
        <w:rStyle w:val="PageNumber"/>
        <w:noProof/>
        <w:sz w:val="26"/>
        <w:szCs w:val="26"/>
      </w:rPr>
      <w:t>3</w:t>
    </w:r>
    <w:r w:rsidRPr="00130090">
      <w:rPr>
        <w:rStyle w:val="PageNumber"/>
        <w:sz w:val="26"/>
        <w:szCs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7"/>
    <w:rsid w:val="0000040D"/>
    <w:rsid w:val="00077C0D"/>
    <w:rsid w:val="000C6521"/>
    <w:rsid w:val="000E4AD6"/>
    <w:rsid w:val="00130090"/>
    <w:rsid w:val="00163DCE"/>
    <w:rsid w:val="001D6A75"/>
    <w:rsid w:val="00254AD6"/>
    <w:rsid w:val="00291652"/>
    <w:rsid w:val="002D7CFD"/>
    <w:rsid w:val="0034197D"/>
    <w:rsid w:val="003B04FF"/>
    <w:rsid w:val="003F3FC0"/>
    <w:rsid w:val="004D5E8F"/>
    <w:rsid w:val="00552D1D"/>
    <w:rsid w:val="00572913"/>
    <w:rsid w:val="00573CE0"/>
    <w:rsid w:val="00584A51"/>
    <w:rsid w:val="005B2677"/>
    <w:rsid w:val="006133AC"/>
    <w:rsid w:val="00644A49"/>
    <w:rsid w:val="0067307E"/>
    <w:rsid w:val="00696F90"/>
    <w:rsid w:val="006A1BE3"/>
    <w:rsid w:val="0072368A"/>
    <w:rsid w:val="00743244"/>
    <w:rsid w:val="007B664D"/>
    <w:rsid w:val="007C4085"/>
    <w:rsid w:val="007E76B7"/>
    <w:rsid w:val="00872091"/>
    <w:rsid w:val="008A6C24"/>
    <w:rsid w:val="009C7ED3"/>
    <w:rsid w:val="00B1172E"/>
    <w:rsid w:val="00C003E0"/>
    <w:rsid w:val="00C32FEB"/>
    <w:rsid w:val="00C40939"/>
    <w:rsid w:val="00C5764E"/>
    <w:rsid w:val="00C9290E"/>
    <w:rsid w:val="00C92CD0"/>
    <w:rsid w:val="00CF3581"/>
    <w:rsid w:val="00D030C6"/>
    <w:rsid w:val="00E15EFF"/>
    <w:rsid w:val="00E64C88"/>
    <w:rsid w:val="00EE3767"/>
    <w:rsid w:val="00F216AD"/>
    <w:rsid w:val="00F34109"/>
    <w:rsid w:val="00FD2E35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78AB44-9087-4F76-A4EC-8AE9313D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3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720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20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100827-3719-429A-A3CA-593482B53C65}"/>
</file>

<file path=customXml/itemProps2.xml><?xml version="1.0" encoding="utf-8"?>
<ds:datastoreItem xmlns:ds="http://schemas.openxmlformats.org/officeDocument/2006/customXml" ds:itemID="{93D9BB50-4887-4D08-9815-A8D9DFC4F283}"/>
</file>

<file path=customXml/itemProps3.xml><?xml version="1.0" encoding="utf-8"?>
<ds:datastoreItem xmlns:ds="http://schemas.openxmlformats.org/officeDocument/2006/customXml" ds:itemID="{0DE595E4-D992-4C4E-B3B5-092C52F972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HOME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PC</cp:lastModifiedBy>
  <cp:revision>4</cp:revision>
  <cp:lastPrinted>2017-10-11T03:23:00Z</cp:lastPrinted>
  <dcterms:created xsi:type="dcterms:W3CDTF">2017-10-11T07:42:00Z</dcterms:created>
  <dcterms:modified xsi:type="dcterms:W3CDTF">2017-10-24T12:45:00Z</dcterms:modified>
</cp:coreProperties>
</file>