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31" w:type="dxa"/>
        <w:jc w:val="center"/>
        <w:tblInd w:w="337" w:type="dxa"/>
        <w:tblLayout w:type="fixed"/>
        <w:tblLook w:val="01E0" w:firstRow="1" w:lastRow="1" w:firstColumn="1" w:lastColumn="1" w:noHBand="0" w:noVBand="0"/>
      </w:tblPr>
      <w:tblGrid>
        <w:gridCol w:w="2787"/>
        <w:gridCol w:w="406"/>
        <w:gridCol w:w="5938"/>
      </w:tblGrid>
      <w:tr w:rsidR="00DB4C52" w:rsidRPr="00900E8C" w:rsidTr="00FF00D8">
        <w:trPr>
          <w:jc w:val="center"/>
        </w:trPr>
        <w:tc>
          <w:tcPr>
            <w:tcW w:w="2787" w:type="dxa"/>
          </w:tcPr>
          <w:p w:rsidR="00DB4C52" w:rsidRPr="00900E8C" w:rsidRDefault="00DB4C52" w:rsidP="00FF00D8">
            <w:pPr>
              <w:ind w:left="-57" w:right="-57"/>
              <w:jc w:val="center"/>
              <w:rPr>
                <w:b/>
                <w:sz w:val="26"/>
              </w:rPr>
            </w:pPr>
            <w:r w:rsidRPr="00900E8C">
              <w:rPr>
                <w:b/>
                <w:sz w:val="26"/>
              </w:rPr>
              <w:t>ỦY BAN NHÂN DÂN</w:t>
            </w:r>
          </w:p>
          <w:p w:rsidR="00DB4C52" w:rsidRPr="00900E8C" w:rsidRDefault="00DB4C52" w:rsidP="00FF00D8">
            <w:pPr>
              <w:ind w:left="-57" w:right="-57"/>
              <w:jc w:val="center"/>
              <w:rPr>
                <w:b/>
                <w:sz w:val="26"/>
              </w:rPr>
            </w:pPr>
            <w:r w:rsidRPr="00900E8C">
              <w:rPr>
                <w:b/>
                <w:sz w:val="26"/>
              </w:rPr>
              <w:t>TỈNH NINH THUẬN</w:t>
            </w:r>
          </w:p>
        </w:tc>
        <w:tc>
          <w:tcPr>
            <w:tcW w:w="406" w:type="dxa"/>
          </w:tcPr>
          <w:p w:rsidR="00DB4C52" w:rsidRPr="00900E8C" w:rsidRDefault="00DB4C52" w:rsidP="00FF00D8">
            <w:pPr>
              <w:jc w:val="center"/>
              <w:rPr>
                <w:b/>
                <w:sz w:val="26"/>
              </w:rPr>
            </w:pPr>
          </w:p>
        </w:tc>
        <w:tc>
          <w:tcPr>
            <w:tcW w:w="5938" w:type="dxa"/>
          </w:tcPr>
          <w:p w:rsidR="00DB4C52" w:rsidRPr="00900E8C" w:rsidRDefault="00DB4C52" w:rsidP="00FF00D8">
            <w:pPr>
              <w:ind w:left="-57" w:right="-57"/>
              <w:jc w:val="center"/>
              <w:rPr>
                <w:b/>
                <w:sz w:val="26"/>
              </w:rPr>
            </w:pPr>
            <w:r w:rsidRPr="00900E8C">
              <w:rPr>
                <w:b/>
                <w:sz w:val="26"/>
              </w:rPr>
              <w:t>CỘNG HOÀ XÃ HỘI CHỦ NGHĨA VIỆT NAM</w:t>
            </w:r>
          </w:p>
          <w:p w:rsidR="00DB4C52" w:rsidRPr="00900E8C" w:rsidRDefault="00DB4C52" w:rsidP="00FF00D8">
            <w:pPr>
              <w:ind w:left="-57" w:right="-57"/>
              <w:jc w:val="center"/>
              <w:rPr>
                <w:b/>
                <w:sz w:val="26"/>
              </w:rPr>
            </w:pPr>
            <w:r w:rsidRPr="00900E8C">
              <w:rPr>
                <w:b/>
                <w:sz w:val="26"/>
              </w:rPr>
              <w:t>Độc lập - Tự do - Hạnh phúc</w:t>
            </w:r>
          </w:p>
        </w:tc>
      </w:tr>
      <w:tr w:rsidR="00DB4C52" w:rsidRPr="00900E8C" w:rsidTr="00FF00D8">
        <w:trPr>
          <w:jc w:val="center"/>
        </w:trPr>
        <w:tc>
          <w:tcPr>
            <w:tcW w:w="2787" w:type="dxa"/>
          </w:tcPr>
          <w:p w:rsidR="00DB4C52" w:rsidRPr="00900E8C" w:rsidRDefault="00DB4C52" w:rsidP="00FF00D8">
            <w:pPr>
              <w:spacing w:line="180" w:lineRule="exact"/>
              <w:ind w:left="-57" w:right="-57"/>
              <w:jc w:val="center"/>
              <w:rPr>
                <w:b/>
                <w:sz w:val="24"/>
                <w:szCs w:val="24"/>
              </w:rPr>
            </w:pPr>
            <w:r w:rsidRPr="00900E8C">
              <w:rPr>
                <w:b/>
                <w:sz w:val="24"/>
                <w:szCs w:val="24"/>
                <w:vertAlign w:val="superscript"/>
              </w:rPr>
              <w:t>_______________</w:t>
            </w:r>
          </w:p>
        </w:tc>
        <w:tc>
          <w:tcPr>
            <w:tcW w:w="406" w:type="dxa"/>
          </w:tcPr>
          <w:p w:rsidR="00DB4C52" w:rsidRPr="00900E8C" w:rsidRDefault="00DB4C52" w:rsidP="00FF00D8">
            <w:pPr>
              <w:jc w:val="center"/>
              <w:rPr>
                <w:b/>
                <w:sz w:val="24"/>
                <w:szCs w:val="24"/>
              </w:rPr>
            </w:pPr>
          </w:p>
        </w:tc>
        <w:tc>
          <w:tcPr>
            <w:tcW w:w="5938" w:type="dxa"/>
          </w:tcPr>
          <w:p w:rsidR="00DB4C52" w:rsidRPr="00900E8C" w:rsidRDefault="00DB4C52" w:rsidP="00FF00D8">
            <w:pPr>
              <w:spacing w:line="180" w:lineRule="exact"/>
              <w:ind w:left="-57" w:right="-57"/>
              <w:jc w:val="center"/>
              <w:rPr>
                <w:b/>
                <w:sz w:val="24"/>
                <w:szCs w:val="24"/>
              </w:rPr>
            </w:pPr>
            <w:r w:rsidRPr="00900E8C">
              <w:rPr>
                <w:b/>
                <w:sz w:val="24"/>
                <w:szCs w:val="24"/>
                <w:vertAlign w:val="superscript"/>
              </w:rPr>
              <w:t>_______________________________________</w:t>
            </w:r>
          </w:p>
        </w:tc>
      </w:tr>
      <w:tr w:rsidR="00DB4C52" w:rsidRPr="00900E8C" w:rsidTr="00FF00D8">
        <w:trPr>
          <w:jc w:val="center"/>
        </w:trPr>
        <w:tc>
          <w:tcPr>
            <w:tcW w:w="2787" w:type="dxa"/>
          </w:tcPr>
          <w:p w:rsidR="00DB4C52" w:rsidRPr="00900E8C" w:rsidRDefault="00DB4C52" w:rsidP="00FF00D8">
            <w:pPr>
              <w:ind w:left="-57" w:right="-57"/>
              <w:jc w:val="center"/>
              <w:rPr>
                <w:sz w:val="26"/>
              </w:rPr>
            </w:pPr>
            <w:r w:rsidRPr="00900E8C">
              <w:rPr>
                <w:iCs/>
                <w:sz w:val="26"/>
              </w:rPr>
              <w:t>Số: 18/2014/QĐ-UBND</w:t>
            </w:r>
          </w:p>
        </w:tc>
        <w:tc>
          <w:tcPr>
            <w:tcW w:w="406" w:type="dxa"/>
          </w:tcPr>
          <w:p w:rsidR="00DB4C52" w:rsidRPr="00900E8C" w:rsidRDefault="00DB4C52" w:rsidP="00FF00D8">
            <w:pPr>
              <w:jc w:val="center"/>
              <w:rPr>
                <w:sz w:val="26"/>
              </w:rPr>
            </w:pPr>
          </w:p>
        </w:tc>
        <w:tc>
          <w:tcPr>
            <w:tcW w:w="5938" w:type="dxa"/>
          </w:tcPr>
          <w:p w:rsidR="00DB4C52" w:rsidRPr="00900E8C" w:rsidRDefault="00DB4C52" w:rsidP="00FF00D8">
            <w:pPr>
              <w:ind w:left="-57" w:right="-57"/>
              <w:jc w:val="center"/>
              <w:rPr>
                <w:i/>
                <w:sz w:val="26"/>
              </w:rPr>
            </w:pPr>
            <w:r w:rsidRPr="00900E8C">
              <w:rPr>
                <w:bCs/>
                <w:i/>
                <w:iCs/>
                <w:sz w:val="26"/>
              </w:rPr>
              <w:t xml:space="preserve"> Phan Rang - Tháp Chàm, ngày 18 tháng 02 năm 2014</w:t>
            </w:r>
          </w:p>
        </w:tc>
      </w:tr>
    </w:tbl>
    <w:p w:rsidR="00DB4C52" w:rsidRPr="00900E8C" w:rsidRDefault="00DB4C52" w:rsidP="00DB4C52">
      <w:pPr>
        <w:jc w:val="center"/>
        <w:rPr>
          <w:lang w:val="it-IT"/>
        </w:rPr>
      </w:pPr>
    </w:p>
    <w:p w:rsidR="00DB4C52" w:rsidRPr="00900E8C" w:rsidRDefault="00DB4C52" w:rsidP="00DB4C52">
      <w:pPr>
        <w:jc w:val="center"/>
        <w:rPr>
          <w:b/>
        </w:rPr>
      </w:pPr>
      <w:r w:rsidRPr="00900E8C">
        <w:rPr>
          <w:b/>
        </w:rPr>
        <w:t>QUYẾT ĐỊNH</w:t>
      </w:r>
    </w:p>
    <w:p w:rsidR="00DB4C52" w:rsidRPr="00900E8C" w:rsidRDefault="00DB4C52" w:rsidP="00DB4C52">
      <w:pPr>
        <w:jc w:val="center"/>
        <w:rPr>
          <w:b/>
        </w:rPr>
      </w:pPr>
      <w:r w:rsidRPr="00900E8C">
        <w:rPr>
          <w:b/>
          <w:iCs/>
        </w:rPr>
        <w:t xml:space="preserve">Về việc sửa đổi, bổ sung một số điều của </w:t>
      </w:r>
      <w:r w:rsidRPr="00900E8C">
        <w:rPr>
          <w:b/>
        </w:rPr>
        <w:t xml:space="preserve">Quy chế quản lý hoạt động </w:t>
      </w:r>
    </w:p>
    <w:p w:rsidR="00DB4C52" w:rsidRPr="00900E8C" w:rsidRDefault="00DB4C52" w:rsidP="00DB4C52">
      <w:pPr>
        <w:jc w:val="center"/>
      </w:pPr>
      <w:r w:rsidRPr="00900E8C">
        <w:rPr>
          <w:b/>
        </w:rPr>
        <w:t>vật liệu nổ công nghiệp trên địa bàn tỉnh Ninh Thuận ban hành kèm theo Quyết định số 1792/2010/QĐ-UBND ngày 29 tháng 10 năm 2010</w:t>
      </w:r>
      <w:r w:rsidRPr="00900E8C">
        <w:t xml:space="preserve"> </w:t>
      </w:r>
    </w:p>
    <w:p w:rsidR="00DB4C52" w:rsidRPr="00900E8C" w:rsidRDefault="00DB4C52" w:rsidP="00DB4C52">
      <w:pPr>
        <w:jc w:val="center"/>
        <w:rPr>
          <w:b/>
        </w:rPr>
      </w:pPr>
      <w:r w:rsidRPr="00900E8C">
        <w:rPr>
          <w:b/>
        </w:rPr>
        <w:t>của Ủy ban nhân dân tỉnh Ninh Thuận</w:t>
      </w:r>
    </w:p>
    <w:p w:rsidR="00DB4C52" w:rsidRPr="00900E8C" w:rsidRDefault="00DB4C52" w:rsidP="00DB4C52">
      <w:pPr>
        <w:spacing w:line="180" w:lineRule="exact"/>
        <w:jc w:val="center"/>
      </w:pPr>
      <w:r w:rsidRPr="00900E8C">
        <w:rPr>
          <w:b/>
          <w:sz w:val="24"/>
          <w:szCs w:val="24"/>
          <w:vertAlign w:val="superscript"/>
        </w:rPr>
        <w:t>____________________________</w:t>
      </w:r>
    </w:p>
    <w:p w:rsidR="00DB4C52" w:rsidRPr="00900E8C" w:rsidRDefault="00DB4C52" w:rsidP="00DB4C52">
      <w:pPr>
        <w:jc w:val="center"/>
        <w:rPr>
          <w:b/>
        </w:rPr>
      </w:pPr>
    </w:p>
    <w:p w:rsidR="00DB4C52" w:rsidRPr="00900E8C" w:rsidRDefault="00DB4C52" w:rsidP="00DB4C52">
      <w:pPr>
        <w:jc w:val="center"/>
        <w:rPr>
          <w:b/>
        </w:rPr>
      </w:pPr>
      <w:r w:rsidRPr="00900E8C">
        <w:rPr>
          <w:b/>
        </w:rPr>
        <w:t>ỦY BAN NHÂN DÂN TỈNH NINH THUẬN</w:t>
      </w:r>
    </w:p>
    <w:p w:rsidR="00DB4C52" w:rsidRPr="00900E8C" w:rsidRDefault="00DB4C52" w:rsidP="00DB4C52">
      <w:pPr>
        <w:jc w:val="center"/>
      </w:pPr>
    </w:p>
    <w:p w:rsidR="00DB4C52" w:rsidRPr="00900E8C" w:rsidRDefault="00DB4C52" w:rsidP="00DB4C52">
      <w:pPr>
        <w:spacing w:line="320" w:lineRule="exact"/>
        <w:ind w:firstLine="720"/>
        <w:jc w:val="both"/>
      </w:pPr>
      <w:r w:rsidRPr="00900E8C">
        <w:t>Căn cứ Luật Tổ chức Hội đồng nhân dân và Ủy ban nhân dân ngày 26 tháng 11 năm 2003;</w:t>
      </w:r>
    </w:p>
    <w:p w:rsidR="00DB4C52" w:rsidRPr="00900E8C" w:rsidRDefault="00DB4C52" w:rsidP="00DB4C52">
      <w:pPr>
        <w:spacing w:before="80" w:line="320" w:lineRule="exact"/>
        <w:ind w:firstLine="720"/>
        <w:jc w:val="both"/>
      </w:pPr>
      <w:r w:rsidRPr="00900E8C">
        <w:t>Căn cứ Luật Ban hành văn bản quy phạm pháp luật của Hội đồng nhân dân, Ủy ban nhân dân ngày 03 tháng 12 năm 2004;</w:t>
      </w:r>
    </w:p>
    <w:p w:rsidR="00DB4C52" w:rsidRPr="00900E8C" w:rsidRDefault="00DB4C52" w:rsidP="00DB4C52">
      <w:pPr>
        <w:spacing w:before="80" w:line="320" w:lineRule="exact"/>
        <w:ind w:firstLine="720"/>
        <w:jc w:val="both"/>
      </w:pPr>
      <w:r w:rsidRPr="00900E8C">
        <w:t>Căn cứ Nghị định số 39/2009/NĐ-CP ngày 23 tháng 4 năm 2009 của Chính phủ về vật liệu nổ công nghiệp; Nghị định số 54/2012/NĐ-CP ngày 22 tháng 6 năm 2012 của Chính phủ sửa đổi, bổ sung một số điều Nghị định số 39/2009/NĐ-CP;</w:t>
      </w:r>
    </w:p>
    <w:p w:rsidR="00DB4C52" w:rsidRPr="00900E8C" w:rsidRDefault="00DB4C52" w:rsidP="00DB4C52">
      <w:pPr>
        <w:spacing w:before="80" w:line="320" w:lineRule="exact"/>
        <w:ind w:firstLine="720"/>
        <w:jc w:val="both"/>
      </w:pPr>
      <w:r w:rsidRPr="00900E8C">
        <w:t>Căn cứ Thông tư số 23/2009/TT-BCT ngày 11 tháng 8 năm 2009 của Bộ Công Thương quy định chi tiết một số điều của Nghị định số 39/2009/NĐ-CP ngày 23 tháng 4 năm 2009 của Chính phủ về vật liệu nổ công nghiệp; Thông tư số 26/2012/TT-BCT ngày 21tháng 9 năm 2012 của Bộ Công Thương sửa đổi, bổ sung một số điều Thông tư số 23/2009/TT-BCT;</w:t>
      </w:r>
    </w:p>
    <w:p w:rsidR="00DB4C52" w:rsidRPr="00900E8C" w:rsidRDefault="00DB4C52" w:rsidP="00DB4C52">
      <w:pPr>
        <w:spacing w:before="80" w:line="320" w:lineRule="exact"/>
        <w:ind w:firstLine="720"/>
        <w:jc w:val="both"/>
      </w:pPr>
      <w:r w:rsidRPr="00900E8C">
        <w:tab/>
        <w:t>Theo đề nghị của Giám đốc Sở Công Thương tại Tờ trình số 81/TTr-SCT ngày 23 tháng 01 năm 2014,</w:t>
      </w:r>
    </w:p>
    <w:p w:rsidR="00DB4C52" w:rsidRPr="00900E8C" w:rsidRDefault="00DB4C52" w:rsidP="00DB4C52">
      <w:pPr>
        <w:jc w:val="center"/>
      </w:pPr>
    </w:p>
    <w:p w:rsidR="00DB4C52" w:rsidRPr="00900E8C" w:rsidRDefault="00DB4C52" w:rsidP="00DB4C52">
      <w:pPr>
        <w:jc w:val="center"/>
        <w:rPr>
          <w:b/>
        </w:rPr>
      </w:pPr>
      <w:r w:rsidRPr="00900E8C">
        <w:rPr>
          <w:b/>
        </w:rPr>
        <w:t>QUYẾT ĐỊNH:</w:t>
      </w:r>
    </w:p>
    <w:p w:rsidR="00DB4C52" w:rsidRPr="00900E8C" w:rsidRDefault="00DB4C52" w:rsidP="00DB4C52">
      <w:pPr>
        <w:jc w:val="center"/>
        <w:rPr>
          <w:b/>
        </w:rPr>
      </w:pPr>
    </w:p>
    <w:p w:rsidR="00DB4C52" w:rsidRPr="00900E8C" w:rsidRDefault="00DB4C52" w:rsidP="00DB4C52">
      <w:pPr>
        <w:spacing w:line="320" w:lineRule="exact"/>
        <w:ind w:firstLine="720"/>
        <w:jc w:val="both"/>
      </w:pPr>
      <w:r w:rsidRPr="00900E8C">
        <w:rPr>
          <w:b/>
        </w:rPr>
        <w:tab/>
        <w:t xml:space="preserve">Điều 1. </w:t>
      </w:r>
      <w:r w:rsidRPr="00900E8C">
        <w:t>Sửa đổi, bổ sung một số điều của Quy chế quản lý hoạt động vật liệu nổ công nghiệp trên địa bàn tỉnh Ninh Thuận ban hành kèm theo Quyết định số 1792/2010/QĐ-UBND ngày 29 tháng 10 năm 2010 của Uỷ ban nhân dân tỉnh Ninh Thuận như sau:</w:t>
      </w:r>
    </w:p>
    <w:p w:rsidR="00DB4C52" w:rsidRPr="00900E8C" w:rsidRDefault="00DB4C52" w:rsidP="00DB4C52">
      <w:pPr>
        <w:spacing w:before="80" w:line="320" w:lineRule="exact"/>
        <w:ind w:firstLine="720"/>
        <w:jc w:val="both"/>
        <w:rPr>
          <w:b/>
        </w:rPr>
      </w:pPr>
      <w:r w:rsidRPr="00900E8C">
        <w:rPr>
          <w:b/>
        </w:rPr>
        <w:t xml:space="preserve">1. Sửa đổi khoản 3 Điều 22 như sau: </w:t>
      </w:r>
    </w:p>
    <w:p w:rsidR="00DB4C52" w:rsidRPr="00900E8C" w:rsidRDefault="00DB4C52" w:rsidP="00DB4C52">
      <w:pPr>
        <w:spacing w:before="80" w:line="320" w:lineRule="exact"/>
        <w:ind w:firstLine="720"/>
        <w:jc w:val="both"/>
      </w:pPr>
      <w:r w:rsidRPr="00900E8C">
        <w:lastRenderedPageBreak/>
        <w:t xml:space="preserve">“3. Tiếp nhận hồ sơ, thẩm định và cấp mới, cấp lại, điều chỉnh hoặc thu hồi giấy phép sử dụng vật liệu nổ công nghiệp của các tổ chức trên địa bàn tỉnh theo quy định.” </w:t>
      </w:r>
    </w:p>
    <w:p w:rsidR="00DB4C52" w:rsidRPr="00900E8C" w:rsidRDefault="00DB4C52" w:rsidP="00DB4C52">
      <w:pPr>
        <w:spacing w:before="80" w:line="320" w:lineRule="exact"/>
        <w:ind w:firstLine="720"/>
        <w:jc w:val="both"/>
      </w:pPr>
      <w:r w:rsidRPr="00900E8C">
        <w:tab/>
      </w:r>
      <w:r w:rsidRPr="00900E8C">
        <w:rPr>
          <w:b/>
        </w:rPr>
        <w:t xml:space="preserve">2. Sửa đổi, bổ sung khoản 1 và 2 Điều 23 như sau: </w:t>
      </w:r>
      <w:r w:rsidRPr="00900E8C">
        <w:t xml:space="preserve"> </w:t>
      </w:r>
    </w:p>
    <w:p w:rsidR="00DB4C52" w:rsidRPr="00900E8C" w:rsidRDefault="00DB4C52" w:rsidP="00DB4C52">
      <w:pPr>
        <w:spacing w:before="80" w:line="320" w:lineRule="exact"/>
        <w:ind w:firstLine="720"/>
        <w:jc w:val="both"/>
      </w:pPr>
      <w:r w:rsidRPr="00900E8C">
        <w:tab/>
        <w:t xml:space="preserve"> “1. Trách nhiệm trong lĩnh vực quản lý hành chính về trật tự xã hội:</w:t>
      </w:r>
    </w:p>
    <w:p w:rsidR="00DB4C52" w:rsidRPr="00900E8C" w:rsidRDefault="00DB4C52" w:rsidP="00DB4C52">
      <w:pPr>
        <w:spacing w:before="80" w:line="320" w:lineRule="exact"/>
        <w:ind w:firstLine="720"/>
        <w:jc w:val="both"/>
      </w:pPr>
      <w:r w:rsidRPr="00900E8C">
        <w:t>a) Tiếp nhận hồ sơ và xem xét cấp giấy chứng nhận đủ điều kiện về an ninh trật tự cho các tổ chức sử dụng vật liệu nổ công nghiệp trên địa bàn tỉnh trước khi Sở Công Thương cấp phép;</w:t>
      </w:r>
    </w:p>
    <w:p w:rsidR="00DB4C52" w:rsidRPr="00900E8C" w:rsidRDefault="00DB4C52" w:rsidP="00DB4C52">
      <w:pPr>
        <w:spacing w:before="80" w:line="320" w:lineRule="exact"/>
        <w:ind w:firstLine="720"/>
        <w:jc w:val="both"/>
      </w:pPr>
      <w:r w:rsidRPr="00900E8C">
        <w:t>b) Tiếp nhận hồ sơ và xem xét cấp giấy phép vận chuyển vật liệu nổ công nghiệp (M) và tổ chức kiểm tra phương tiện vận chuyển, giấy phép vận chuyển vật liệu nổ công nghiệp của tổ chức hoạt động vật liệu nổ công nghiệp trên địa bàn tỉnh;</w:t>
      </w:r>
    </w:p>
    <w:p w:rsidR="00DB4C52" w:rsidRPr="00900E8C" w:rsidRDefault="00DB4C52" w:rsidP="00DB4C52">
      <w:pPr>
        <w:spacing w:before="80" w:line="320" w:lineRule="exact"/>
        <w:ind w:firstLine="720"/>
        <w:jc w:val="both"/>
      </w:pPr>
      <w:r w:rsidRPr="00900E8C">
        <w:t xml:space="preserve">c) </w:t>
      </w:r>
      <w:r w:rsidRPr="00900E8C">
        <w:rPr>
          <w:lang w:val="nl-NL"/>
        </w:rPr>
        <w:t xml:space="preserve">Xác nhận tình trạng kho chứa </w:t>
      </w:r>
      <w:r w:rsidRPr="00900E8C">
        <w:t>vật liệu nổ công nghiệp</w:t>
      </w:r>
      <w:r w:rsidRPr="00900E8C">
        <w:rPr>
          <w:lang w:val="nl-NL"/>
        </w:rPr>
        <w:t xml:space="preserve">, bãi nổ để tiếp nhận </w:t>
      </w:r>
      <w:r w:rsidRPr="00900E8C">
        <w:t xml:space="preserve">vật liệu nổ công nghiệp </w:t>
      </w:r>
      <w:r w:rsidRPr="00900E8C">
        <w:rPr>
          <w:lang w:val="nl-NL"/>
        </w:rPr>
        <w:t xml:space="preserve">của các tổ chứa hoạt động </w:t>
      </w:r>
      <w:r w:rsidRPr="00900E8C">
        <w:t xml:space="preserve">vật liệu nổ công nghiệp </w:t>
      </w:r>
      <w:r w:rsidRPr="00900E8C">
        <w:rPr>
          <w:lang w:val="nl-NL"/>
        </w:rPr>
        <w:t>trên địa bàn tỉnh;</w:t>
      </w:r>
    </w:p>
    <w:p w:rsidR="00DB4C52" w:rsidRPr="00900E8C" w:rsidRDefault="00DB4C52" w:rsidP="00DB4C52">
      <w:pPr>
        <w:spacing w:before="80" w:line="320" w:lineRule="exact"/>
        <w:ind w:firstLine="720"/>
        <w:jc w:val="both"/>
      </w:pPr>
      <w:r w:rsidRPr="00900E8C">
        <w:t>d) Chủ trì công tác kiểm tra về việc đảm bảo thực hiện các điều kiện về an ninh trật tự của các tổ chức hoạt động vật liệu nổ công nghiệp trên địa bàn tỉnh theo chỉ đạo của ngành;</w:t>
      </w:r>
    </w:p>
    <w:p w:rsidR="00DB4C52" w:rsidRPr="00900E8C" w:rsidRDefault="00DB4C52" w:rsidP="00DB4C52">
      <w:pPr>
        <w:spacing w:before="80" w:line="320" w:lineRule="exact"/>
        <w:ind w:firstLine="720"/>
        <w:jc w:val="both"/>
        <w:rPr>
          <w:lang w:val="nl-NL"/>
        </w:rPr>
      </w:pPr>
      <w:r w:rsidRPr="00900E8C">
        <w:t>e</w:t>
      </w:r>
      <w:r w:rsidRPr="00900E8C">
        <w:rPr>
          <w:lang w:val="nl-NL"/>
        </w:rPr>
        <w:t xml:space="preserve">) Tham gia đóng góp ý kiến thẩm định về lĩnh vực an ninh trật tự, an toàn xã hội cho hồ sơ thiết kế cơ sở công trình kho chứa vật liệu nổ công nghiệp của các tổ chức hoạt động vật liệu nổ công nghiệp trên địa bàn tỉnh.  </w:t>
      </w:r>
    </w:p>
    <w:p w:rsidR="00DB4C52" w:rsidRPr="00900E8C" w:rsidRDefault="00DB4C52" w:rsidP="00DB4C52">
      <w:pPr>
        <w:spacing w:before="80" w:line="320" w:lineRule="exact"/>
        <w:ind w:firstLine="720"/>
        <w:jc w:val="both"/>
      </w:pPr>
      <w:r w:rsidRPr="00900E8C">
        <w:t>2.</w:t>
      </w:r>
      <w:r>
        <w:t xml:space="preserve"> </w:t>
      </w:r>
      <w:r w:rsidRPr="00900E8C">
        <w:t>Trách nhiệm trong lĩnh vực quản lý phòng cháy chữa cháy và cứu hộ cứu nạn:</w:t>
      </w:r>
    </w:p>
    <w:p w:rsidR="00DB4C52" w:rsidRPr="00900E8C" w:rsidRDefault="00DB4C52" w:rsidP="00DB4C52">
      <w:pPr>
        <w:spacing w:before="80" w:line="320" w:lineRule="exact"/>
        <w:ind w:firstLine="720"/>
        <w:jc w:val="both"/>
      </w:pPr>
      <w:r w:rsidRPr="00900E8C">
        <w:t>a) Chủ trì công tác thanh kiểm tra việc thực hiện công tác phòng cháy chữa cháy của tổ chức hoạt động vật liệu nổ công nghiệp trên địa bàn tỉnh;</w:t>
      </w:r>
    </w:p>
    <w:p w:rsidR="00DB4C52" w:rsidRPr="00900E8C" w:rsidRDefault="00DB4C52" w:rsidP="00DB4C52">
      <w:pPr>
        <w:spacing w:before="80" w:line="320" w:lineRule="exact"/>
        <w:ind w:firstLine="720"/>
        <w:jc w:val="both"/>
      </w:pPr>
      <w:r w:rsidRPr="00900E8C">
        <w:t xml:space="preserve">b) Chủ trì thẩm duyệt về phòng cháy chữa cháy kho chứa vật liệu nổ công nghiệp và cấp giấy chứng nhận đủ điều kiện về phòng cháy chữa cháy; </w:t>
      </w:r>
    </w:p>
    <w:p w:rsidR="00DB4C52" w:rsidRPr="00900E8C" w:rsidRDefault="00DB4C52" w:rsidP="00DB4C52">
      <w:pPr>
        <w:spacing w:before="80" w:line="320" w:lineRule="exact"/>
        <w:ind w:firstLine="720"/>
        <w:jc w:val="both"/>
      </w:pPr>
      <w:r w:rsidRPr="00900E8C">
        <w:t xml:space="preserve">c) Tham gia đóng góp ý kiến </w:t>
      </w:r>
      <w:r w:rsidRPr="00900E8C">
        <w:rPr>
          <w:lang w:val="nl-NL"/>
        </w:rPr>
        <w:t>về lĩnh vực an toàn phòng chống cháy nổ</w:t>
      </w:r>
      <w:r w:rsidRPr="00900E8C">
        <w:t xml:space="preserve"> đối với hồ sơ thiết kế cơ sở công trình kho chứa vật liệu nổ công nghiệp của tổ chức hoạt động vật liệu nổ công nghiệp trên địa bàn tỉnh; </w:t>
      </w:r>
    </w:p>
    <w:p w:rsidR="00DB4C52" w:rsidRPr="00900E8C" w:rsidRDefault="00DB4C52" w:rsidP="00DB4C52">
      <w:pPr>
        <w:spacing w:before="80" w:line="320" w:lineRule="exact"/>
        <w:ind w:firstLine="720"/>
        <w:jc w:val="both"/>
        <w:rPr>
          <w:b/>
        </w:rPr>
      </w:pPr>
      <w:r w:rsidRPr="00900E8C">
        <w:t>d) Chủ trì tổ chức công tác huấn luyện, kiến thức pháp luật liên quan về phòng cháy chữa cháy cho các tổ chức sử dụng vật liệu nổ công nghiệp trên địa bàn tỉnh”</w:t>
      </w:r>
      <w:r>
        <w:t>.</w:t>
      </w:r>
      <w:r w:rsidRPr="00900E8C">
        <w:t xml:space="preserve"> </w:t>
      </w:r>
    </w:p>
    <w:p w:rsidR="00DB4C52" w:rsidRPr="00900E8C" w:rsidRDefault="00DB4C52" w:rsidP="00DB4C52">
      <w:pPr>
        <w:ind w:firstLine="720"/>
        <w:jc w:val="both"/>
      </w:pPr>
      <w:r w:rsidRPr="00900E8C">
        <w:tab/>
      </w:r>
    </w:p>
    <w:p w:rsidR="00DB4C52" w:rsidRPr="00900E8C" w:rsidRDefault="00DB4C52" w:rsidP="00DB4C52">
      <w:pPr>
        <w:ind w:firstLine="720"/>
        <w:jc w:val="both"/>
      </w:pPr>
      <w:r w:rsidRPr="00900E8C">
        <w:rPr>
          <w:b/>
        </w:rPr>
        <w:t xml:space="preserve">Điều 2. </w:t>
      </w:r>
      <w:r w:rsidRPr="00900E8C">
        <w:t xml:space="preserve">Quyết định này có hiệu lực sau 10 (mười) ngày kể từ ngày ký ban hành. </w:t>
      </w:r>
    </w:p>
    <w:p w:rsidR="00DB4C52" w:rsidRPr="00900E8C" w:rsidRDefault="00DB4C52" w:rsidP="00DB4C52">
      <w:pPr>
        <w:ind w:firstLine="720"/>
        <w:jc w:val="both"/>
        <w:rPr>
          <w:b/>
        </w:rPr>
      </w:pPr>
      <w:r w:rsidRPr="00900E8C">
        <w:lastRenderedPageBreak/>
        <w:t>Chánh Văn phòng Ủy ban nhân tỉnh; Giám đốc các sở, thủ trưởng các ban, ngành thuộc tỉnh; Chủ tịch Ủy ban nhân dân các huyện, thành phố; các tổ chức kinh tế, doanh nghiệp có tham gia hoạt động vật liệu nổ công nghiệp trên địa bàn tỉnh chịu trách nhiệm thi hành Quyết định này./.</w:t>
      </w:r>
    </w:p>
    <w:p w:rsidR="00DB4C52" w:rsidRPr="00900E8C" w:rsidRDefault="00DB4C52" w:rsidP="00DB4C52">
      <w:pPr>
        <w:jc w:val="center"/>
        <w:rPr>
          <w:lang w:val="it-IT"/>
        </w:rPr>
      </w:pPr>
    </w:p>
    <w:tbl>
      <w:tblPr>
        <w:tblW w:w="9202" w:type="dxa"/>
        <w:jc w:val="center"/>
        <w:tblInd w:w="69" w:type="dxa"/>
        <w:tblLook w:val="01E0" w:firstRow="1" w:lastRow="1" w:firstColumn="1" w:lastColumn="1" w:noHBand="0" w:noVBand="0"/>
      </w:tblPr>
      <w:tblGrid>
        <w:gridCol w:w="4723"/>
        <w:gridCol w:w="4479"/>
      </w:tblGrid>
      <w:tr w:rsidR="00DB4C52" w:rsidRPr="00900E8C" w:rsidTr="00FF00D8">
        <w:trPr>
          <w:trHeight w:val="277"/>
          <w:jc w:val="center"/>
        </w:trPr>
        <w:tc>
          <w:tcPr>
            <w:tcW w:w="4723" w:type="dxa"/>
          </w:tcPr>
          <w:p w:rsidR="00DB4C52" w:rsidRPr="00900E8C" w:rsidRDefault="00DB4C52" w:rsidP="00FF00D8">
            <w:r w:rsidRPr="00900E8C">
              <w:rPr>
                <w:b/>
                <w:bCs/>
              </w:rPr>
              <w:t> </w:t>
            </w:r>
          </w:p>
        </w:tc>
        <w:tc>
          <w:tcPr>
            <w:tcW w:w="4479" w:type="dxa"/>
          </w:tcPr>
          <w:p w:rsidR="00DB4C52" w:rsidRPr="00900E8C" w:rsidRDefault="00DB4C52" w:rsidP="00FF00D8">
            <w:pPr>
              <w:jc w:val="center"/>
              <w:rPr>
                <w:b/>
              </w:rPr>
            </w:pPr>
            <w:r w:rsidRPr="00900E8C">
              <w:rPr>
                <w:b/>
              </w:rPr>
              <w:t>TM. ỦY BAN NHÂN DÂN</w:t>
            </w:r>
          </w:p>
          <w:p w:rsidR="00DB4C52" w:rsidRPr="00900E8C" w:rsidRDefault="00DB4C52" w:rsidP="00FF00D8">
            <w:pPr>
              <w:jc w:val="center"/>
              <w:rPr>
                <w:b/>
              </w:rPr>
            </w:pPr>
            <w:r w:rsidRPr="00900E8C">
              <w:rPr>
                <w:b/>
              </w:rPr>
              <w:t>KT. CHỦ TỊCH</w:t>
            </w:r>
          </w:p>
          <w:p w:rsidR="00DB4C52" w:rsidRPr="00900E8C" w:rsidRDefault="00DB4C52" w:rsidP="00FF00D8">
            <w:pPr>
              <w:jc w:val="center"/>
              <w:rPr>
                <w:b/>
              </w:rPr>
            </w:pPr>
            <w:r w:rsidRPr="00900E8C">
              <w:rPr>
                <w:b/>
              </w:rPr>
              <w:t>PHÓ CHỦ TỊCH</w:t>
            </w:r>
          </w:p>
          <w:p w:rsidR="00DB4C52" w:rsidRPr="00900E8C" w:rsidRDefault="00DB4C52" w:rsidP="00FF00D8">
            <w:pPr>
              <w:jc w:val="center"/>
              <w:rPr>
                <w:b/>
              </w:rPr>
            </w:pPr>
          </w:p>
        </w:tc>
      </w:tr>
      <w:tr w:rsidR="00DB4C52" w:rsidRPr="00900E8C" w:rsidTr="00FF00D8">
        <w:trPr>
          <w:trHeight w:val="87"/>
          <w:jc w:val="center"/>
        </w:trPr>
        <w:tc>
          <w:tcPr>
            <w:tcW w:w="4723" w:type="dxa"/>
          </w:tcPr>
          <w:p w:rsidR="00DB4C52" w:rsidRPr="00900E8C" w:rsidRDefault="00DB4C52" w:rsidP="00FF00D8"/>
        </w:tc>
        <w:tc>
          <w:tcPr>
            <w:tcW w:w="4479" w:type="dxa"/>
          </w:tcPr>
          <w:p w:rsidR="00DB4C52" w:rsidRPr="00900E8C" w:rsidRDefault="00DB4C52" w:rsidP="00FF00D8">
            <w:pPr>
              <w:jc w:val="center"/>
              <w:rPr>
                <w:b/>
              </w:rPr>
            </w:pPr>
            <w:r w:rsidRPr="00900E8C">
              <w:rPr>
                <w:b/>
                <w:lang w:val="nl-NL"/>
              </w:rPr>
              <w:t>Đỗ Hữu Nghị</w:t>
            </w:r>
          </w:p>
        </w:tc>
      </w:tr>
    </w:tbl>
    <w:p w:rsidR="00613D9C" w:rsidRDefault="00613D9C">
      <w:bookmarkStart w:id="0" w:name="_GoBack"/>
      <w:bookmarkEnd w:id="0"/>
    </w:p>
    <w:sectPr w:rsidR="00613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52"/>
    <w:rsid w:val="00613D9C"/>
    <w:rsid w:val="00DB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C5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next w:val="Normal"/>
    <w:autoRedefine/>
    <w:semiHidden/>
    <w:rsid w:val="00DB4C52"/>
    <w:pPr>
      <w:spacing w:after="160" w:line="240" w:lineRule="exact"/>
    </w:pPr>
    <w:rPr>
      <w:szCs w:val="22"/>
    </w:rPr>
  </w:style>
  <w:style w:type="paragraph" w:customStyle="1" w:styleId="123">
    <w:name w:val="123"/>
    <w:basedOn w:val="Normal"/>
    <w:rsid w:val="00DB4C52"/>
    <w:pPr>
      <w:spacing w:line="280" w:lineRule="atLeast"/>
      <w:jc w:val="both"/>
    </w:pPr>
    <w:rPr>
      <w:rFonts w:ascii=".VnTime" w:hAnsi=".VnTime"/>
      <w:szCs w:val="20"/>
    </w:rPr>
  </w:style>
  <w:style w:type="paragraph" w:customStyle="1" w:styleId="n-dieund">
    <w:name w:val="n-dieund"/>
    <w:basedOn w:val="Normal"/>
    <w:rsid w:val="00DB4C52"/>
    <w:pPr>
      <w:spacing w:after="120"/>
      <w:ind w:firstLine="709"/>
      <w:jc w:val="both"/>
    </w:pPr>
    <w:rPr>
      <w:rFonts w:ascii=".VnTime" w:hAnsi=".VnTime"/>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C5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next w:val="Normal"/>
    <w:autoRedefine/>
    <w:semiHidden/>
    <w:rsid w:val="00DB4C52"/>
    <w:pPr>
      <w:spacing w:after="160" w:line="240" w:lineRule="exact"/>
    </w:pPr>
    <w:rPr>
      <w:szCs w:val="22"/>
    </w:rPr>
  </w:style>
  <w:style w:type="paragraph" w:customStyle="1" w:styleId="123">
    <w:name w:val="123"/>
    <w:basedOn w:val="Normal"/>
    <w:rsid w:val="00DB4C52"/>
    <w:pPr>
      <w:spacing w:line="280" w:lineRule="atLeast"/>
      <w:jc w:val="both"/>
    </w:pPr>
    <w:rPr>
      <w:rFonts w:ascii=".VnTime" w:hAnsi=".VnTime"/>
      <w:szCs w:val="20"/>
    </w:rPr>
  </w:style>
  <w:style w:type="paragraph" w:customStyle="1" w:styleId="n-dieund">
    <w:name w:val="n-dieund"/>
    <w:basedOn w:val="Normal"/>
    <w:rsid w:val="00DB4C52"/>
    <w:pPr>
      <w:spacing w:after="120"/>
      <w:ind w:firstLine="709"/>
      <w:jc w:val="both"/>
    </w:pPr>
    <w:rPr>
      <w:rFonts w:ascii=".VnTime" w:hAnsi=".VnTim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08F52-B00B-47D7-9A75-5EC4B825B6A8}"/>
</file>

<file path=customXml/itemProps2.xml><?xml version="1.0" encoding="utf-8"?>
<ds:datastoreItem xmlns:ds="http://schemas.openxmlformats.org/officeDocument/2006/customXml" ds:itemID="{DD6275B7-36C5-4873-B5F8-969111E1BF1B}"/>
</file>

<file path=customXml/itemProps3.xml><?xml version="1.0" encoding="utf-8"?>
<ds:datastoreItem xmlns:ds="http://schemas.openxmlformats.org/officeDocument/2006/customXml" ds:itemID="{68F918A1-AFA1-4745-8BE0-6E11611E28EF}"/>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2017-12-15T04:58:00Z</dcterms:created>
  <dcterms:modified xsi:type="dcterms:W3CDTF">2017-12-15T04:58:00Z</dcterms:modified>
</cp:coreProperties>
</file>