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18" w:type="dxa"/>
        <w:tblLook w:val="01E0" w:firstRow="1" w:lastRow="1" w:firstColumn="1" w:lastColumn="1" w:noHBand="0" w:noVBand="0"/>
      </w:tblPr>
      <w:tblGrid>
        <w:gridCol w:w="3510"/>
        <w:gridCol w:w="6120"/>
      </w:tblGrid>
      <w:tr w:rsidR="0000280A" w:rsidTr="0000280A">
        <w:tc>
          <w:tcPr>
            <w:tcW w:w="3510" w:type="dxa"/>
          </w:tcPr>
          <w:p w:rsidR="0000280A" w:rsidRDefault="0000280A">
            <w:pPr>
              <w:jc w:val="center"/>
              <w:rPr>
                <w:b/>
                <w:sz w:val="26"/>
                <w:szCs w:val="26"/>
              </w:rPr>
            </w:pPr>
            <w:r>
              <w:rPr>
                <w:b/>
                <w:sz w:val="26"/>
                <w:szCs w:val="26"/>
              </w:rPr>
              <w:t>HỘI ĐỒNG NHÂN DÂN</w:t>
            </w:r>
          </w:p>
          <w:p w:rsidR="0000280A" w:rsidRDefault="0000280A">
            <w:pPr>
              <w:jc w:val="center"/>
              <w:rPr>
                <w:b/>
                <w:sz w:val="26"/>
                <w:szCs w:val="26"/>
              </w:rPr>
            </w:pPr>
            <w:r>
              <w:rPr>
                <w:b/>
                <w:sz w:val="26"/>
                <w:szCs w:val="26"/>
              </w:rPr>
              <w:t>TỈNH BẮC NINH</w:t>
            </w:r>
          </w:p>
          <w:p w:rsidR="0000280A" w:rsidRDefault="0000280A">
            <w:pPr>
              <w:jc w:val="center"/>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480060</wp:posOffset>
                      </wp:positionH>
                      <wp:positionV relativeFrom="paragraph">
                        <wp:posOffset>17780</wp:posOffset>
                      </wp:positionV>
                      <wp:extent cx="1122045" cy="0"/>
                      <wp:effectExtent l="13335" t="8255" r="7620"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7.8pt;margin-top:1.4pt;width:88.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"/>
                  </w:pict>
                </mc:Fallback>
              </mc:AlternateContent>
            </w:r>
          </w:p>
          <w:p w:rsidR="0000280A" w:rsidRDefault="0000280A">
            <w:pPr>
              <w:jc w:val="center"/>
              <w:rPr>
                <w:b/>
                <w:sz w:val="26"/>
                <w:szCs w:val="26"/>
              </w:rPr>
            </w:pPr>
            <w:r>
              <w:t>Số: 121/2018/NQ-HĐND</w:t>
            </w:r>
          </w:p>
        </w:tc>
        <w:tc>
          <w:tcPr>
            <w:tcW w:w="6120" w:type="dxa"/>
          </w:tcPr>
          <w:p w:rsidR="0000280A" w:rsidRDefault="0000280A">
            <w:pPr>
              <w:jc w:val="center"/>
              <w:rPr>
                <w:b/>
                <w:sz w:val="26"/>
                <w:szCs w:val="26"/>
              </w:rPr>
            </w:pPr>
            <w:r>
              <w:rPr>
                <w:b/>
                <w:sz w:val="26"/>
                <w:szCs w:val="26"/>
              </w:rPr>
              <w:t>CỘNG HÒA XÃ HỘI CHỦ NGHĨA VIỆT NAM</w:t>
            </w:r>
          </w:p>
          <w:p w:rsidR="0000280A" w:rsidRDefault="0000280A">
            <w:pPr>
              <w:jc w:val="center"/>
              <w:rPr>
                <w:b/>
                <w:szCs w:val="26"/>
              </w:rPr>
            </w:pPr>
            <w:r>
              <w:rPr>
                <w:b/>
                <w:szCs w:val="26"/>
              </w:rPr>
              <w:t>Độc lập - Tự do - Hạnh phúc</w:t>
            </w:r>
          </w:p>
          <w:p w:rsidR="0000280A" w:rsidRDefault="0000280A">
            <w:pPr>
              <w:jc w:val="center"/>
              <w:rPr>
                <w:i/>
              </w:rPr>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908685</wp:posOffset>
                      </wp:positionH>
                      <wp:positionV relativeFrom="paragraph">
                        <wp:posOffset>22225</wp:posOffset>
                      </wp:positionV>
                      <wp:extent cx="1914525" cy="0"/>
                      <wp:effectExtent l="13335" t="12700" r="5715"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71.55pt;margin-top:1.75pt;width:15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"/>
                  </w:pict>
                </mc:Fallback>
              </mc:AlternateContent>
            </w:r>
          </w:p>
          <w:p w:rsidR="0000280A" w:rsidRDefault="0000280A">
            <w:pPr>
              <w:jc w:val="center"/>
              <w:rPr>
                <w:b/>
                <w:sz w:val="26"/>
                <w:szCs w:val="26"/>
              </w:rPr>
            </w:pPr>
            <w:r>
              <w:rPr>
                <w:i/>
              </w:rPr>
              <w:t>Bắc Ninh, ngày 18 tháng 7 năm 2018</w:t>
            </w:r>
          </w:p>
        </w:tc>
      </w:tr>
    </w:tbl>
    <w:p w:rsidR="0000280A" w:rsidRDefault="0000280A" w:rsidP="0000280A">
      <w:pPr>
        <w:spacing w:before="480" w:after="120" w:line="360" w:lineRule="exact"/>
        <w:jc w:val="center"/>
        <w:rPr>
          <w:b/>
        </w:rPr>
      </w:pPr>
      <w:r>
        <w:rPr>
          <w:b/>
        </w:rPr>
        <w:t>NGHỊ QUYẾT</w:t>
      </w:r>
    </w:p>
    <w:p w:rsidR="0000280A" w:rsidRDefault="0000280A" w:rsidP="0000280A">
      <w:pPr>
        <w:autoSpaceDE w:val="0"/>
        <w:jc w:val="center"/>
        <w:rPr>
          <w:b/>
        </w:rPr>
      </w:pPr>
      <w:r>
        <w:rPr>
          <w:b/>
          <w:bCs/>
        </w:rPr>
        <w:t xml:space="preserve">V/v Sửa đổi </w:t>
      </w:r>
      <w:r>
        <w:rPr>
          <w:b/>
        </w:rPr>
        <w:t xml:space="preserve">giá dịch vụ khám bệnh, chữa bệnh </w:t>
      </w:r>
    </w:p>
    <w:p w:rsidR="0000280A" w:rsidRDefault="0000280A" w:rsidP="0000280A">
      <w:pPr>
        <w:autoSpaceDE w:val="0"/>
        <w:jc w:val="center"/>
        <w:rPr>
          <w:b/>
        </w:rPr>
      </w:pPr>
      <w:r>
        <w:rPr>
          <w:b/>
        </w:rPr>
        <w:t xml:space="preserve">không thuộc phạm vi thanh toán của Quỹ bảo hiểm y tế </w:t>
      </w:r>
    </w:p>
    <w:p w:rsidR="0000280A" w:rsidRDefault="0000280A" w:rsidP="0000280A">
      <w:pPr>
        <w:autoSpaceDE w:val="0"/>
        <w:jc w:val="center"/>
        <w:rPr>
          <w:b/>
        </w:rPr>
      </w:pPr>
      <w:r>
        <w:rPr>
          <w:b/>
        </w:rPr>
        <w:t>trong các cơ sở khám bệnh, chữa bệnh của nhà nước trên địa bàn tỉnh</w:t>
      </w:r>
    </w:p>
    <w:p w:rsidR="0000280A" w:rsidRDefault="0000280A" w:rsidP="0000280A">
      <w:pPr>
        <w:jc w:val="center"/>
        <w:rPr>
          <w:b/>
        </w:rPr>
      </w:pPr>
      <w:r>
        <w:rPr>
          <w:noProof/>
          <w:lang w:val="en-US"/>
        </w:rPr>
        <mc:AlternateContent>
          <mc:Choice Requires="wps">
            <w:drawing>
              <wp:anchor distT="4294967295" distB="4294967295" distL="114300" distR="114300" simplePos="0" relativeHeight="251658240" behindDoc="0" locked="0" layoutInCell="1" allowOverlap="1">
                <wp:simplePos x="0" y="0"/>
                <wp:positionH relativeFrom="column">
                  <wp:posOffset>2432685</wp:posOffset>
                </wp:positionH>
                <wp:positionV relativeFrom="paragraph">
                  <wp:posOffset>35559</wp:posOffset>
                </wp:positionV>
                <wp:extent cx="11201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0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1.55pt,2.8pt" to="279.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V+1Gw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"/>
            </w:pict>
          </mc:Fallback>
        </mc:AlternateContent>
      </w:r>
    </w:p>
    <w:p w:rsidR="0000280A" w:rsidRDefault="0000280A" w:rsidP="0000280A">
      <w:pPr>
        <w:spacing w:before="240"/>
        <w:jc w:val="center"/>
        <w:rPr>
          <w:b/>
        </w:rPr>
      </w:pPr>
      <w:r>
        <w:rPr>
          <w:b/>
        </w:rPr>
        <w:t>HỘI ĐỒNG NHÂN DÂN TỈNH BẮC NINH</w:t>
      </w:r>
    </w:p>
    <w:p w:rsidR="0000280A" w:rsidRDefault="0000280A" w:rsidP="0000280A">
      <w:pPr>
        <w:jc w:val="center"/>
        <w:rPr>
          <w:b/>
        </w:rPr>
      </w:pPr>
      <w:r>
        <w:rPr>
          <w:b/>
        </w:rPr>
        <w:t>KHÓA XVIII, KỲ HỌP THỨ TÁM</w:t>
      </w:r>
    </w:p>
    <w:p w:rsidR="0000280A" w:rsidRDefault="0000280A" w:rsidP="0000280A">
      <w:pPr>
        <w:jc w:val="center"/>
        <w:rPr>
          <w:b/>
        </w:rPr>
      </w:pPr>
    </w:p>
    <w:p w:rsidR="0000280A" w:rsidRDefault="0000280A" w:rsidP="0000280A">
      <w:pPr>
        <w:spacing w:before="120" w:after="120" w:line="264" w:lineRule="auto"/>
        <w:ind w:firstLine="576"/>
        <w:jc w:val="both"/>
        <w:rPr>
          <w:i/>
          <w:lang w:val="es-ES"/>
        </w:rPr>
      </w:pPr>
      <w:r>
        <w:rPr>
          <w:i/>
          <w:lang w:val="es-ES"/>
        </w:rPr>
        <w:t>Căn cứ Luật Tổ chức chính quyền địa phương năm 2015;</w:t>
      </w:r>
    </w:p>
    <w:p w:rsidR="0000280A" w:rsidRDefault="0000280A" w:rsidP="0000280A">
      <w:pPr>
        <w:spacing w:before="120" w:after="120" w:line="264" w:lineRule="auto"/>
        <w:ind w:firstLine="576"/>
        <w:jc w:val="both"/>
        <w:rPr>
          <w:i/>
          <w:lang w:val="es-ES"/>
        </w:rPr>
      </w:pPr>
      <w:r>
        <w:rPr>
          <w:i/>
          <w:lang w:val="es-ES"/>
        </w:rPr>
        <w:t>Căn cứ Luật Ban hành văn bản quy phạm pháp luật năm 2015;</w:t>
      </w:r>
    </w:p>
    <w:p w:rsidR="0000280A" w:rsidRDefault="0000280A" w:rsidP="0000280A">
      <w:pPr>
        <w:autoSpaceDE w:val="0"/>
        <w:spacing w:before="120" w:after="120" w:line="264" w:lineRule="auto"/>
        <w:ind w:firstLine="576"/>
        <w:jc w:val="both"/>
        <w:rPr>
          <w:i/>
          <w:lang w:val="es-ES"/>
        </w:rPr>
      </w:pPr>
      <w:r>
        <w:rPr>
          <w:i/>
          <w:lang w:val="es-ES"/>
        </w:rPr>
        <w:t>Căn cứ Luật Khám bệnh, chữa bệnh năm 2009;</w:t>
      </w:r>
    </w:p>
    <w:p w:rsidR="0000280A" w:rsidRDefault="0000280A" w:rsidP="0000280A">
      <w:pPr>
        <w:autoSpaceDE w:val="0"/>
        <w:spacing w:before="120" w:after="120" w:line="264" w:lineRule="auto"/>
        <w:ind w:firstLine="576"/>
        <w:jc w:val="both"/>
        <w:rPr>
          <w:i/>
          <w:lang w:val="es-ES"/>
        </w:rPr>
      </w:pPr>
      <w:r>
        <w:rPr>
          <w:i/>
          <w:lang w:val="es-ES"/>
        </w:rPr>
        <w:t>Căn cứ Luật Giá năm 2012;</w:t>
      </w:r>
    </w:p>
    <w:p w:rsidR="0000280A" w:rsidRDefault="0000280A" w:rsidP="0000280A">
      <w:pPr>
        <w:autoSpaceDE w:val="0"/>
        <w:spacing w:before="120" w:after="120" w:line="264" w:lineRule="auto"/>
        <w:ind w:firstLine="576"/>
        <w:jc w:val="both"/>
        <w:rPr>
          <w:i/>
          <w:iCs/>
          <w:spacing w:val="2"/>
          <w:lang w:val="es-ES"/>
        </w:rPr>
      </w:pPr>
      <w:r>
        <w:rPr>
          <w:i/>
          <w:spacing w:val="2"/>
          <w:lang w:val="es-ES"/>
        </w:rPr>
        <w:t xml:space="preserve">Căn cứ Nghị định số 85/2012/NĐ-CP ngày 15/10/2012 của Chính phủ </w:t>
      </w:r>
      <w:r>
        <w:rPr>
          <w:i/>
          <w:iCs/>
          <w:spacing w:val="2"/>
          <w:lang w:val="vi-VN"/>
        </w:rPr>
        <w:t>về cơ chế hoạt động, cơ chế tài ch</w:t>
      </w:r>
      <w:r>
        <w:rPr>
          <w:i/>
          <w:iCs/>
          <w:spacing w:val="2"/>
          <w:lang w:val="es-ES"/>
        </w:rPr>
        <w:t>í</w:t>
      </w:r>
      <w:r>
        <w:rPr>
          <w:i/>
          <w:iCs/>
          <w:spacing w:val="2"/>
          <w:lang w:val="vi-VN"/>
        </w:rPr>
        <w:t>nh đ</w:t>
      </w:r>
      <w:r>
        <w:rPr>
          <w:i/>
          <w:iCs/>
          <w:spacing w:val="2"/>
          <w:lang w:val="es-ES"/>
        </w:rPr>
        <w:t>ố</w:t>
      </w:r>
      <w:r>
        <w:rPr>
          <w:i/>
          <w:iCs/>
          <w:spacing w:val="2"/>
          <w:lang w:val="vi-VN"/>
        </w:rPr>
        <w:t>i với các đơn vị sự nghiệp y tế công lập và giá dịch vụ khám bệnh, chữa bệnh của các cơ sở kh</w:t>
      </w:r>
      <w:r>
        <w:rPr>
          <w:i/>
          <w:iCs/>
          <w:spacing w:val="2"/>
          <w:lang w:val="es-ES"/>
        </w:rPr>
        <w:t>á</w:t>
      </w:r>
      <w:r>
        <w:rPr>
          <w:i/>
          <w:iCs/>
          <w:spacing w:val="2"/>
          <w:lang w:val="vi-VN"/>
        </w:rPr>
        <w:t xml:space="preserve">m bệnh, chữa bệnh công </w:t>
      </w:r>
      <w:r>
        <w:rPr>
          <w:i/>
          <w:iCs/>
          <w:spacing w:val="2"/>
          <w:lang w:val="es-ES"/>
        </w:rPr>
        <w:t>l</w:t>
      </w:r>
      <w:r>
        <w:rPr>
          <w:i/>
          <w:iCs/>
          <w:spacing w:val="2"/>
          <w:lang w:val="vi-VN"/>
        </w:rPr>
        <w:t>ập</w:t>
      </w:r>
      <w:r>
        <w:rPr>
          <w:i/>
          <w:iCs/>
          <w:spacing w:val="2"/>
          <w:lang w:val="es-ES"/>
        </w:rPr>
        <w:t>;</w:t>
      </w:r>
    </w:p>
    <w:p w:rsidR="0000280A" w:rsidRDefault="0000280A" w:rsidP="0000280A">
      <w:pPr>
        <w:autoSpaceDE w:val="0"/>
        <w:spacing w:before="120" w:after="120" w:line="264" w:lineRule="auto"/>
        <w:ind w:firstLine="576"/>
        <w:jc w:val="both"/>
        <w:rPr>
          <w:i/>
          <w:spacing w:val="-2"/>
          <w:lang w:val="es-ES"/>
        </w:rPr>
      </w:pPr>
      <w:r>
        <w:rPr>
          <w:i/>
          <w:iCs/>
          <w:lang w:val="es-ES"/>
        </w:rPr>
        <w:t xml:space="preserve">Căn cứ Nghị định số </w:t>
      </w:r>
      <w:r>
        <w:rPr>
          <w:i/>
          <w:spacing w:val="-2"/>
          <w:lang w:val="es-ES"/>
        </w:rPr>
        <w:t>16/2015/NĐ-CP ngày 14/02/2015 của Chính phủ, quy định cơ chế tự chủ của đơn vị sự nghiệp công lập;</w:t>
      </w:r>
    </w:p>
    <w:p w:rsidR="0000280A" w:rsidRDefault="0000280A" w:rsidP="0000280A">
      <w:pPr>
        <w:autoSpaceDE w:val="0"/>
        <w:spacing w:before="120" w:after="120" w:line="264" w:lineRule="auto"/>
        <w:ind w:firstLine="576"/>
        <w:jc w:val="both"/>
        <w:rPr>
          <w:bCs/>
          <w:i/>
          <w:iCs/>
          <w:lang w:val="es-ES"/>
        </w:rPr>
      </w:pPr>
      <w:r>
        <w:rPr>
          <w:i/>
          <w:lang w:val="es-ES"/>
        </w:rPr>
        <w:t>Căn cứ Thông tư số 02/2017/TT-BYT ngày 15/3/2017 của Bộ trưởng Bộ Y tế về việc "</w:t>
      </w:r>
      <w:r>
        <w:rPr>
          <w:bCs/>
          <w:i/>
          <w:iCs/>
          <w:lang w:val="es-ES"/>
        </w:rPr>
        <w:t>Quy định mức tối đa khung giá dịch vụ khám bệnh, chữa bệnh không thuộc phạm vi thanh toán của Quỹ bảo hiểm y tế trong các cơ sở khám bệnh, chữa bệnh của nhà nước và hướng dẫn áp dụng giá, thanh toán chi phí khám bệnh chữa bệnh trong một số trường hợp";</w:t>
      </w:r>
    </w:p>
    <w:p w:rsidR="0000280A" w:rsidRDefault="0000280A" w:rsidP="0000280A">
      <w:pPr>
        <w:autoSpaceDE w:val="0"/>
        <w:spacing w:before="120" w:after="120" w:line="264" w:lineRule="auto"/>
        <w:ind w:firstLine="576"/>
        <w:jc w:val="both"/>
        <w:rPr>
          <w:i/>
          <w:lang w:val="es-ES"/>
        </w:rPr>
      </w:pPr>
      <w:r>
        <w:rPr>
          <w:bCs/>
          <w:i/>
          <w:iCs/>
          <w:lang w:val="es-ES"/>
        </w:rPr>
        <w:t>Căn cứ</w:t>
      </w:r>
      <w:r>
        <w:rPr>
          <w:i/>
          <w:lang w:val="es-ES"/>
        </w:rPr>
        <w:t xml:space="preserve"> Thông tư 44/2017/TT - BYT ngày 16/11/2017 của Bộ trưởng Bộ Y tế về việc sửa đổi Thông tư 02/2017/TT-BYT;</w:t>
      </w:r>
    </w:p>
    <w:p w:rsidR="0000280A" w:rsidRDefault="0000280A" w:rsidP="0000280A">
      <w:pPr>
        <w:autoSpaceDE w:val="0"/>
        <w:spacing w:before="120" w:after="120" w:line="264" w:lineRule="auto"/>
        <w:ind w:firstLine="576"/>
        <w:jc w:val="both"/>
        <w:rPr>
          <w:i/>
          <w:lang w:val="es-ES"/>
        </w:rPr>
      </w:pPr>
      <w:r>
        <w:rPr>
          <w:i/>
          <w:lang w:val="es-ES"/>
        </w:rPr>
        <w:t>Căn cứ Thông tư số 15/2018/TT-BYT ngày 30/5/2018 của Bộ trưởng Bộ Y tế, quy định thống nhất giá dịch vụ khám bệnh chữa bệnh bảo hiểm y tế giữa các bệnh viện cùng hạng trong toàn quốc và hướng dẫn áp dụng giá, thanh toán chi phí khám bệnh, chữa bệnh bảo hiểm y tế trong một số trường hợp;</w:t>
      </w:r>
    </w:p>
    <w:p w:rsidR="0000280A" w:rsidRDefault="0000280A" w:rsidP="0000280A">
      <w:pPr>
        <w:autoSpaceDE w:val="0"/>
        <w:spacing w:before="120" w:after="120" w:line="264" w:lineRule="auto"/>
        <w:ind w:firstLine="576"/>
        <w:jc w:val="both"/>
        <w:rPr>
          <w:i/>
          <w:lang w:val="es-ES"/>
        </w:rPr>
      </w:pPr>
      <w:r>
        <w:rPr>
          <w:i/>
          <w:lang w:val="es-ES"/>
        </w:rPr>
        <w:lastRenderedPageBreak/>
        <w:t>Căn cứ Nghị quyết số 65/2017/NQ-HĐND ngày 12/7/2017 của Hội đồng nhân dân tỉnh, về việc Quy định giá dịch vụ khám bệnh, chữa bệnh không thuộc phạm vi thanh toán của Quỹ bảo hiểm y tế trong các cơ sở khám bệnh, chữa bệnh của nhà nước trên địa bàn tỉnh;</w:t>
      </w:r>
    </w:p>
    <w:p w:rsidR="0000280A" w:rsidRDefault="0000280A" w:rsidP="0000280A">
      <w:pPr>
        <w:autoSpaceDE w:val="0"/>
        <w:spacing w:before="120" w:after="120" w:line="264" w:lineRule="auto"/>
        <w:ind w:firstLine="576"/>
        <w:jc w:val="both"/>
        <w:rPr>
          <w:i/>
          <w:spacing w:val="-2"/>
          <w:lang w:val="es-ES"/>
        </w:rPr>
      </w:pPr>
      <w:r>
        <w:rPr>
          <w:i/>
          <w:spacing w:val="-2"/>
          <w:lang w:val="es-ES"/>
        </w:rPr>
        <w:t xml:space="preserve">Xét Tờ trình số 249/TTr-UBND ngày 09/7/2018 của Uỷ ban nhân dân tỉnh, về việc sửa đổi giá dịch vụ khám bệnh, chữa bệnh không thuộc phạm vi thanh toán của Quỹ bảo hiểm y tế trong các cơ sở khám bệnh, chữa bệnh của nhà nước trên địa bàn tỉnh; báo cáo thẩm tra của </w:t>
      </w:r>
      <w:r>
        <w:rPr>
          <w:i/>
          <w:spacing w:val="-2"/>
          <w:lang w:val="vi-VN"/>
        </w:rPr>
        <w:t>Ban văn hóa- xã hội và ý kiến thảo luận của đại biểu</w:t>
      </w:r>
      <w:r>
        <w:rPr>
          <w:i/>
          <w:spacing w:val="-2"/>
          <w:lang w:val="es-ES"/>
        </w:rPr>
        <w:t>.</w:t>
      </w:r>
    </w:p>
    <w:p w:rsidR="0000280A" w:rsidRDefault="0000280A" w:rsidP="0000280A">
      <w:pPr>
        <w:spacing w:before="360" w:after="360" w:line="264" w:lineRule="auto"/>
        <w:jc w:val="center"/>
        <w:rPr>
          <w:b/>
          <w:lang w:val="es-ES"/>
        </w:rPr>
      </w:pPr>
      <w:r>
        <w:rPr>
          <w:b/>
          <w:lang w:val="es-ES"/>
        </w:rPr>
        <w:t>QUYẾT NGHỊ:</w:t>
      </w:r>
    </w:p>
    <w:p w:rsidR="0000280A" w:rsidRDefault="0000280A" w:rsidP="0000280A">
      <w:pPr>
        <w:autoSpaceDE w:val="0"/>
        <w:spacing w:before="120" w:after="120" w:line="264" w:lineRule="auto"/>
        <w:ind w:firstLine="576"/>
        <w:jc w:val="both"/>
        <w:rPr>
          <w:lang w:val="es-ES"/>
        </w:rPr>
      </w:pPr>
      <w:r>
        <w:rPr>
          <w:b/>
          <w:bCs/>
          <w:lang w:val="es-ES"/>
        </w:rPr>
        <w:t>Điều 1.</w:t>
      </w:r>
      <w:r>
        <w:rPr>
          <w:lang w:val="es-ES"/>
        </w:rPr>
        <w:t xml:space="preserve"> Sửa đổi giá dịch vụ khám bệnh, chữa bệnh không thuộc phạm vi thanh toán của Quỹ bảo hiểm y tế trong các cơ sở khám bệnh, chữa bệnh của nhà nước thuộc địa phương quản lý trên địa bàn tỉnh Bắc Ninh, ban hành kèm theo Nghị quyết số 65/2017/NQ-HĐND ngày 12/7/2017 của Hội đồng nhân dân tỉnh, như sau:</w:t>
      </w:r>
    </w:p>
    <w:p w:rsidR="0000280A" w:rsidRDefault="0000280A" w:rsidP="0000280A">
      <w:pPr>
        <w:autoSpaceDE w:val="0"/>
        <w:spacing w:before="120" w:after="120" w:line="264" w:lineRule="auto"/>
        <w:ind w:firstLine="576"/>
        <w:jc w:val="both"/>
        <w:rPr>
          <w:color w:val="000000" w:themeColor="text1"/>
          <w:lang w:val="es-ES"/>
        </w:rPr>
      </w:pPr>
      <w:r>
        <w:rPr>
          <w:lang w:val="es-ES"/>
        </w:rPr>
        <w:t>1. Giá dịch vụ khám bệnh: T</w:t>
      </w:r>
      <w:r>
        <w:rPr>
          <w:color w:val="000000" w:themeColor="text1"/>
          <w:lang w:val="es-ES"/>
        </w:rPr>
        <w:t>heo Phụ lục I.</w:t>
      </w:r>
    </w:p>
    <w:p w:rsidR="0000280A" w:rsidRDefault="0000280A" w:rsidP="0000280A">
      <w:pPr>
        <w:autoSpaceDE w:val="0"/>
        <w:spacing w:before="120" w:after="120" w:line="264" w:lineRule="auto"/>
        <w:ind w:firstLine="576"/>
        <w:jc w:val="both"/>
        <w:rPr>
          <w:color w:val="000000" w:themeColor="text1"/>
          <w:lang w:val="es-ES"/>
        </w:rPr>
      </w:pPr>
      <w:r>
        <w:rPr>
          <w:color w:val="000000" w:themeColor="text1"/>
          <w:lang w:val="es-ES"/>
        </w:rPr>
        <w:t>2. Giá dịch vụ ngày giường điều trị: Theo Phụ lục II.</w:t>
      </w:r>
    </w:p>
    <w:p w:rsidR="0000280A" w:rsidRDefault="0000280A" w:rsidP="0000280A">
      <w:pPr>
        <w:autoSpaceDE w:val="0"/>
        <w:spacing w:before="120" w:after="120" w:line="264" w:lineRule="auto"/>
        <w:ind w:firstLine="576"/>
        <w:jc w:val="both"/>
        <w:rPr>
          <w:color w:val="000000" w:themeColor="text1"/>
          <w:lang w:val="es-ES"/>
        </w:rPr>
      </w:pPr>
      <w:r>
        <w:rPr>
          <w:color w:val="000000" w:themeColor="text1"/>
          <w:lang w:val="es-ES"/>
        </w:rPr>
        <w:t>3. Giá một số dịch vụ kỹ thuật, xét nghiệm: Theo Phụ lục III.</w:t>
      </w:r>
    </w:p>
    <w:p w:rsidR="0000280A" w:rsidRDefault="0000280A" w:rsidP="0000280A">
      <w:pPr>
        <w:autoSpaceDE w:val="0"/>
        <w:spacing w:before="120" w:after="120" w:line="264" w:lineRule="auto"/>
        <w:ind w:firstLine="576"/>
        <w:jc w:val="both"/>
        <w:rPr>
          <w:color w:val="000000" w:themeColor="text1"/>
          <w:spacing w:val="2"/>
          <w:lang w:val="es-ES"/>
        </w:rPr>
      </w:pPr>
      <w:r>
        <w:rPr>
          <w:color w:val="000000" w:themeColor="text1"/>
          <w:spacing w:val="2"/>
          <w:lang w:val="es-ES"/>
        </w:rPr>
        <w:t>Các nội dung không sửa đổi tại Khoản 1,2,3 Điều này được thực hiện theo quy định tại Nghị quyết 65/2017/NQ-HĐND ngày 12/7/2017 của Hội đồng nhân dân tỉnh.</w:t>
      </w:r>
    </w:p>
    <w:p w:rsidR="0000280A" w:rsidRDefault="0000280A" w:rsidP="0000280A">
      <w:pPr>
        <w:spacing w:before="120" w:after="120" w:line="264" w:lineRule="auto"/>
        <w:ind w:firstLine="576"/>
        <w:jc w:val="both"/>
        <w:rPr>
          <w:spacing w:val="-4"/>
          <w:lang w:val="pt-BR"/>
        </w:rPr>
      </w:pPr>
      <w:r>
        <w:rPr>
          <w:b/>
          <w:spacing w:val="-4"/>
          <w:lang w:val="am-ET"/>
        </w:rPr>
        <w:t xml:space="preserve">Điều </w:t>
      </w:r>
      <w:r>
        <w:rPr>
          <w:b/>
          <w:spacing w:val="-4"/>
          <w:lang w:val="es-ES"/>
        </w:rPr>
        <w:t xml:space="preserve">2. </w:t>
      </w:r>
      <w:r>
        <w:rPr>
          <w:spacing w:val="-4"/>
          <w:lang w:val="es-ES"/>
        </w:rPr>
        <w:t xml:space="preserve">Giao </w:t>
      </w:r>
      <w:r>
        <w:rPr>
          <w:spacing w:val="-4"/>
          <w:lang w:val="am-ET"/>
        </w:rPr>
        <w:t>U</w:t>
      </w:r>
      <w:r>
        <w:rPr>
          <w:spacing w:val="-4"/>
          <w:lang w:val="en-US"/>
        </w:rPr>
        <w:t>ỷ ban nhân dân</w:t>
      </w:r>
      <w:r>
        <w:rPr>
          <w:spacing w:val="-4"/>
          <w:lang w:val="am-ET"/>
        </w:rPr>
        <w:t xml:space="preserve"> tỉnh </w:t>
      </w:r>
      <w:r>
        <w:rPr>
          <w:color w:val="000000"/>
          <w:spacing w:val="-4"/>
          <w:lang w:val="es-ES"/>
        </w:rPr>
        <w:t xml:space="preserve">tổ chức thực hiện Nghị quyết này. </w:t>
      </w:r>
      <w:r>
        <w:rPr>
          <w:color w:val="000000"/>
          <w:spacing w:val="-4"/>
          <w:lang w:val="nb-NO" w:eastAsia="vi-VN"/>
        </w:rPr>
        <w:t>Hằng năm, báo cáo kết quả tại kỳ họp thường lệ của Hội đồng nhân dân tỉnh.</w:t>
      </w:r>
    </w:p>
    <w:p w:rsidR="0000280A" w:rsidRDefault="0000280A" w:rsidP="0000280A">
      <w:pPr>
        <w:tabs>
          <w:tab w:val="left" w:pos="910"/>
        </w:tabs>
        <w:spacing w:before="120" w:after="120" w:line="264" w:lineRule="auto"/>
        <w:ind w:firstLine="576"/>
        <w:jc w:val="both"/>
        <w:rPr>
          <w:b/>
          <w:bCs/>
          <w:spacing w:val="-2"/>
          <w:lang w:val="pt-BR"/>
        </w:rPr>
      </w:pPr>
      <w:r>
        <w:rPr>
          <w:b/>
          <w:lang w:val="pl-PL"/>
        </w:rPr>
        <w:t>Điều 3.</w:t>
      </w:r>
      <w:r>
        <w:rPr>
          <w:lang w:val="pl-PL"/>
        </w:rPr>
        <w:t xml:space="preserve"> Thường trực Hội đồng nhân dân, các Ban Hội đồng nhân dân, các Tổ đại biểu và đại biểu Hội đồng nhân dân tỉnh có trách nhiệm đôn đốc, kiểm tra, giám sát việc thực hiện Nghị quyết này.</w:t>
      </w:r>
    </w:p>
    <w:p w:rsidR="0000280A" w:rsidRDefault="0000280A" w:rsidP="0000280A">
      <w:pPr>
        <w:spacing w:before="120" w:after="120" w:line="264" w:lineRule="auto"/>
        <w:ind w:firstLine="576"/>
        <w:jc w:val="both"/>
        <w:rPr>
          <w:spacing w:val="2"/>
          <w:lang w:val="pt-BR"/>
        </w:rPr>
      </w:pPr>
      <w:r>
        <w:rPr>
          <w:spacing w:val="2"/>
          <w:lang w:val="pt-BR"/>
        </w:rPr>
        <w:t xml:space="preserve">Nghị quyết đã được Hội đồng nhân dân tỉnh Bắc Ninh Khoá XVIII, kỳ họp thứ Tám thông qua ngày 18/7/2018 và </w:t>
      </w:r>
      <w:r>
        <w:rPr>
          <w:spacing w:val="2"/>
          <w:lang w:val="es-ES"/>
        </w:rPr>
        <w:t xml:space="preserve">có hiệu lực kể từ ngày </w:t>
      </w:r>
      <w:r>
        <w:rPr>
          <w:color w:val="000000" w:themeColor="text1"/>
          <w:spacing w:val="2"/>
          <w:lang w:val="es-ES"/>
        </w:rPr>
        <w:t>01/8/2018</w:t>
      </w:r>
      <w:r>
        <w:rPr>
          <w:color w:val="000000" w:themeColor="text1"/>
          <w:spacing w:val="2"/>
          <w:lang w:val="pt-BR"/>
        </w:rPr>
        <w:t>./.</w:t>
      </w:r>
    </w:p>
    <w:p w:rsidR="0000280A" w:rsidRDefault="0000280A" w:rsidP="0000280A">
      <w:pPr>
        <w:spacing w:before="120"/>
        <w:ind w:firstLine="567"/>
        <w:jc w:val="both"/>
        <w:rPr>
          <w:bCs/>
          <w:sz w:val="20"/>
          <w:lang w:val="pt-BR"/>
        </w:rPr>
      </w:pPr>
    </w:p>
    <w:tbl>
      <w:tblPr>
        <w:tblW w:w="9108" w:type="dxa"/>
        <w:jc w:val="center"/>
        <w:tblLook w:val="01E0" w:firstRow="1" w:lastRow="1" w:firstColumn="1" w:lastColumn="1" w:noHBand="0" w:noVBand="0"/>
      </w:tblPr>
      <w:tblGrid>
        <w:gridCol w:w="5688"/>
        <w:gridCol w:w="3420"/>
      </w:tblGrid>
      <w:tr w:rsidR="0000280A" w:rsidTr="0000280A">
        <w:trPr>
          <w:trHeight w:val="80"/>
          <w:jc w:val="center"/>
        </w:trPr>
        <w:tc>
          <w:tcPr>
            <w:tcW w:w="5688" w:type="dxa"/>
            <w:hideMark/>
          </w:tcPr>
          <w:p w:rsidR="0000280A" w:rsidRDefault="0000280A">
            <w:pPr>
              <w:tabs>
                <w:tab w:val="left" w:pos="910"/>
              </w:tabs>
              <w:spacing w:after="60" w:line="240" w:lineRule="exact"/>
              <w:jc w:val="both"/>
              <w:rPr>
                <w:b/>
                <w:i/>
                <w:spacing w:val="-4"/>
                <w:sz w:val="24"/>
                <w:szCs w:val="24"/>
                <w:lang w:val="am-ET"/>
              </w:rPr>
            </w:pPr>
            <w:r>
              <w:rPr>
                <w:b/>
                <w:i/>
                <w:spacing w:val="-4"/>
                <w:sz w:val="24"/>
                <w:szCs w:val="24"/>
                <w:lang w:val="am-ET"/>
              </w:rPr>
              <w:t>Nơi nhận:</w:t>
            </w:r>
          </w:p>
          <w:p w:rsidR="0000280A" w:rsidRDefault="0000280A">
            <w:pPr>
              <w:tabs>
                <w:tab w:val="left" w:pos="910"/>
              </w:tabs>
              <w:spacing w:line="260" w:lineRule="atLeast"/>
              <w:jc w:val="both"/>
              <w:rPr>
                <w:spacing w:val="-4"/>
                <w:sz w:val="22"/>
                <w:lang w:val="pt-BR"/>
              </w:rPr>
            </w:pPr>
            <w:r>
              <w:rPr>
                <w:spacing w:val="-4"/>
                <w:sz w:val="22"/>
                <w:lang w:val="pt-BR"/>
              </w:rPr>
              <w:t>- UBTVQH; Chính phủ (b/c);</w:t>
            </w:r>
          </w:p>
          <w:p w:rsidR="0000280A" w:rsidRDefault="0000280A">
            <w:pPr>
              <w:tabs>
                <w:tab w:val="left" w:pos="910"/>
              </w:tabs>
              <w:spacing w:line="260" w:lineRule="atLeast"/>
              <w:jc w:val="both"/>
              <w:rPr>
                <w:spacing w:val="-4"/>
                <w:sz w:val="22"/>
                <w:lang w:val="pt-BR"/>
              </w:rPr>
            </w:pPr>
            <w:r>
              <w:rPr>
                <w:spacing w:val="-4"/>
                <w:sz w:val="22"/>
                <w:lang w:val="pt-BR"/>
              </w:rPr>
              <w:t>- Bộ Y tế (b/c);</w:t>
            </w:r>
          </w:p>
          <w:p w:rsidR="0000280A" w:rsidRDefault="0000280A">
            <w:pPr>
              <w:tabs>
                <w:tab w:val="left" w:pos="910"/>
              </w:tabs>
              <w:spacing w:line="260" w:lineRule="atLeast"/>
              <w:jc w:val="both"/>
              <w:rPr>
                <w:spacing w:val="-4"/>
                <w:sz w:val="22"/>
                <w:lang w:val="pt-BR"/>
              </w:rPr>
            </w:pPr>
            <w:r>
              <w:rPr>
                <w:spacing w:val="-4"/>
                <w:sz w:val="22"/>
                <w:lang w:val="pt-BR"/>
              </w:rPr>
              <w:t>- Bộ Tư pháp (Cục KTVB);</w:t>
            </w:r>
          </w:p>
          <w:p w:rsidR="0000280A" w:rsidRDefault="0000280A">
            <w:pPr>
              <w:tabs>
                <w:tab w:val="left" w:pos="910"/>
              </w:tabs>
              <w:spacing w:line="260" w:lineRule="atLeast"/>
              <w:jc w:val="both"/>
              <w:rPr>
                <w:spacing w:val="-4"/>
                <w:sz w:val="22"/>
                <w:lang w:val="pt-BR"/>
              </w:rPr>
            </w:pPr>
            <w:r>
              <w:rPr>
                <w:spacing w:val="-4"/>
                <w:sz w:val="22"/>
                <w:lang w:val="pt-BR"/>
              </w:rPr>
              <w:t>- TT Tỉnh ủy, HĐND, UBND, UBMTTQ tỉnh;</w:t>
            </w:r>
          </w:p>
          <w:p w:rsidR="0000280A" w:rsidRDefault="0000280A">
            <w:pPr>
              <w:tabs>
                <w:tab w:val="left" w:pos="910"/>
              </w:tabs>
              <w:spacing w:line="260" w:lineRule="atLeast"/>
              <w:jc w:val="both"/>
              <w:rPr>
                <w:spacing w:val="-4"/>
                <w:sz w:val="22"/>
                <w:lang w:val="pt-BR"/>
              </w:rPr>
            </w:pPr>
            <w:r>
              <w:rPr>
                <w:spacing w:val="-4"/>
                <w:sz w:val="22"/>
                <w:lang w:val="pt-BR"/>
              </w:rPr>
              <w:t>- Đoàn đại biểu Quốc hội tỉnh;</w:t>
            </w:r>
          </w:p>
          <w:p w:rsidR="0000280A" w:rsidRDefault="0000280A">
            <w:pPr>
              <w:tabs>
                <w:tab w:val="left" w:pos="910"/>
              </w:tabs>
              <w:spacing w:line="260" w:lineRule="atLeast"/>
              <w:jc w:val="both"/>
              <w:rPr>
                <w:spacing w:val="-4"/>
                <w:sz w:val="22"/>
                <w:lang w:val="pt-BR"/>
              </w:rPr>
            </w:pPr>
            <w:r>
              <w:rPr>
                <w:spacing w:val="-4"/>
                <w:sz w:val="22"/>
                <w:lang w:val="pt-BR"/>
              </w:rPr>
              <w:t>- VKSND, TAND tỉnh;</w:t>
            </w:r>
          </w:p>
          <w:p w:rsidR="0000280A" w:rsidRDefault="0000280A">
            <w:pPr>
              <w:tabs>
                <w:tab w:val="left" w:pos="910"/>
              </w:tabs>
              <w:spacing w:line="260" w:lineRule="atLeast"/>
              <w:jc w:val="both"/>
              <w:rPr>
                <w:spacing w:val="-4"/>
                <w:sz w:val="22"/>
                <w:lang w:val="pt-BR"/>
              </w:rPr>
            </w:pPr>
            <w:r>
              <w:rPr>
                <w:spacing w:val="-4"/>
                <w:sz w:val="22"/>
                <w:lang w:val="pt-BR"/>
              </w:rPr>
              <w:t>- Các Ban HĐND; các đại biểu HĐND tỉnh;</w:t>
            </w:r>
          </w:p>
          <w:p w:rsidR="0000280A" w:rsidRDefault="0000280A">
            <w:pPr>
              <w:tabs>
                <w:tab w:val="left" w:pos="910"/>
              </w:tabs>
              <w:spacing w:line="260" w:lineRule="atLeast"/>
              <w:jc w:val="both"/>
              <w:rPr>
                <w:spacing w:val="-4"/>
                <w:sz w:val="22"/>
                <w:lang w:val="pt-BR"/>
              </w:rPr>
            </w:pPr>
            <w:r>
              <w:rPr>
                <w:spacing w:val="-4"/>
                <w:sz w:val="22"/>
                <w:lang w:val="pt-BR"/>
              </w:rPr>
              <w:lastRenderedPageBreak/>
              <w:t>- VP: TU, UBND tỉnh;</w:t>
            </w:r>
          </w:p>
          <w:p w:rsidR="0000280A" w:rsidRDefault="0000280A">
            <w:pPr>
              <w:tabs>
                <w:tab w:val="left" w:pos="910"/>
              </w:tabs>
              <w:spacing w:line="260" w:lineRule="atLeast"/>
              <w:jc w:val="both"/>
              <w:rPr>
                <w:spacing w:val="-4"/>
                <w:sz w:val="22"/>
                <w:lang w:val="pt-BR"/>
              </w:rPr>
            </w:pPr>
            <w:r>
              <w:rPr>
                <w:spacing w:val="-4"/>
                <w:sz w:val="22"/>
                <w:lang w:val="pt-BR"/>
              </w:rPr>
              <w:t>- Các Sở, ban, ngành, đoàn thể tỉnh;</w:t>
            </w:r>
          </w:p>
          <w:p w:rsidR="0000280A" w:rsidRDefault="0000280A">
            <w:pPr>
              <w:tabs>
                <w:tab w:val="left" w:pos="910"/>
              </w:tabs>
              <w:spacing w:line="260" w:lineRule="atLeast"/>
              <w:jc w:val="both"/>
              <w:rPr>
                <w:spacing w:val="-4"/>
                <w:sz w:val="22"/>
                <w:lang w:val="pt-BR"/>
              </w:rPr>
            </w:pPr>
            <w:r>
              <w:rPr>
                <w:spacing w:val="-4"/>
                <w:sz w:val="22"/>
                <w:lang w:val="pt-BR"/>
              </w:rPr>
              <w:t>- Các cơ quan Trung ương đóng trên địa bàn tỉnh;</w:t>
            </w:r>
          </w:p>
          <w:p w:rsidR="0000280A" w:rsidRDefault="0000280A">
            <w:pPr>
              <w:tabs>
                <w:tab w:val="left" w:pos="910"/>
              </w:tabs>
              <w:spacing w:line="260" w:lineRule="atLeast"/>
              <w:jc w:val="both"/>
              <w:rPr>
                <w:spacing w:val="-4"/>
                <w:sz w:val="22"/>
                <w:lang w:val="pt-BR"/>
              </w:rPr>
            </w:pPr>
            <w:r>
              <w:rPr>
                <w:spacing w:val="-4"/>
                <w:sz w:val="22"/>
                <w:lang w:val="pt-BR"/>
              </w:rPr>
              <w:t>- Các Huyện ủy, Thị ủy, Thành ủy;</w:t>
            </w:r>
          </w:p>
          <w:p w:rsidR="0000280A" w:rsidRDefault="0000280A">
            <w:pPr>
              <w:tabs>
                <w:tab w:val="left" w:pos="910"/>
              </w:tabs>
              <w:spacing w:line="260" w:lineRule="atLeast"/>
              <w:jc w:val="both"/>
              <w:rPr>
                <w:spacing w:val="-4"/>
                <w:sz w:val="22"/>
                <w:lang w:val="pt-BR"/>
              </w:rPr>
            </w:pPr>
            <w:r>
              <w:rPr>
                <w:spacing w:val="-4"/>
                <w:sz w:val="22"/>
                <w:lang w:val="pt-BR"/>
              </w:rPr>
              <w:t>- TTHĐND, UBND các huyện, TX, TP;</w:t>
            </w:r>
          </w:p>
          <w:p w:rsidR="0000280A" w:rsidRDefault="0000280A">
            <w:pPr>
              <w:tabs>
                <w:tab w:val="left" w:pos="910"/>
              </w:tabs>
              <w:spacing w:line="260" w:lineRule="atLeast"/>
              <w:jc w:val="both"/>
              <w:rPr>
                <w:spacing w:val="-4"/>
                <w:sz w:val="22"/>
                <w:lang w:val="pt-BR"/>
              </w:rPr>
            </w:pPr>
            <w:r>
              <w:rPr>
                <w:spacing w:val="-4"/>
                <w:sz w:val="22"/>
                <w:lang w:val="pt-BR"/>
              </w:rPr>
              <w:t>- Công báo, Đài PTTH, Cổng TTĐT tỉnh,</w:t>
            </w:r>
          </w:p>
          <w:p w:rsidR="0000280A" w:rsidRDefault="0000280A">
            <w:pPr>
              <w:tabs>
                <w:tab w:val="left" w:pos="910"/>
              </w:tabs>
              <w:spacing w:line="260" w:lineRule="atLeast"/>
              <w:jc w:val="both"/>
              <w:rPr>
                <w:spacing w:val="-4"/>
                <w:sz w:val="22"/>
                <w:lang w:val="pt-BR"/>
              </w:rPr>
            </w:pPr>
            <w:r>
              <w:rPr>
                <w:spacing w:val="-4"/>
                <w:sz w:val="22"/>
                <w:lang w:val="pt-BR"/>
              </w:rPr>
              <w:t xml:space="preserve">  Báo BN, TTXVN tại BN; </w:t>
            </w:r>
          </w:p>
          <w:p w:rsidR="0000280A" w:rsidRDefault="0000280A">
            <w:pPr>
              <w:tabs>
                <w:tab w:val="left" w:pos="910"/>
              </w:tabs>
              <w:spacing w:line="260" w:lineRule="atLeast"/>
              <w:jc w:val="both"/>
              <w:rPr>
                <w:spacing w:val="-4"/>
                <w:sz w:val="22"/>
                <w:lang w:val="en-US"/>
              </w:rPr>
            </w:pPr>
            <w:r>
              <w:rPr>
                <w:spacing w:val="-4"/>
                <w:sz w:val="22"/>
                <w:lang w:val="en-US"/>
              </w:rPr>
              <w:t>- VP: CVP, phòng TH, lưu VT.</w:t>
            </w:r>
          </w:p>
        </w:tc>
        <w:tc>
          <w:tcPr>
            <w:tcW w:w="3420" w:type="dxa"/>
          </w:tcPr>
          <w:p w:rsidR="0000280A" w:rsidRDefault="0000280A">
            <w:pPr>
              <w:tabs>
                <w:tab w:val="left" w:pos="910"/>
              </w:tabs>
              <w:spacing w:line="360" w:lineRule="exact"/>
              <w:jc w:val="center"/>
              <w:rPr>
                <w:b/>
                <w:spacing w:val="-4"/>
                <w:lang w:val="am-ET"/>
              </w:rPr>
            </w:pPr>
            <w:r>
              <w:rPr>
                <w:b/>
                <w:spacing w:val="-4"/>
                <w:lang w:val="am-ET"/>
              </w:rPr>
              <w:lastRenderedPageBreak/>
              <w:t>CHỦ TỊCH</w:t>
            </w:r>
          </w:p>
          <w:p w:rsidR="0000280A" w:rsidRDefault="0000280A">
            <w:pPr>
              <w:tabs>
                <w:tab w:val="left" w:pos="910"/>
              </w:tabs>
              <w:spacing w:line="360" w:lineRule="exact"/>
              <w:jc w:val="center"/>
              <w:rPr>
                <w:b/>
                <w:spacing w:val="-4"/>
                <w:lang w:val="am-ET"/>
              </w:rPr>
            </w:pPr>
          </w:p>
          <w:p w:rsidR="0000280A" w:rsidRDefault="0000280A">
            <w:pPr>
              <w:tabs>
                <w:tab w:val="left" w:pos="910"/>
              </w:tabs>
              <w:spacing w:line="360" w:lineRule="exact"/>
              <w:jc w:val="center"/>
              <w:rPr>
                <w:b/>
                <w:spacing w:val="-4"/>
                <w:lang w:val="en-US"/>
              </w:rPr>
            </w:pPr>
          </w:p>
          <w:p w:rsidR="0000280A" w:rsidRDefault="0000280A">
            <w:pPr>
              <w:tabs>
                <w:tab w:val="left" w:pos="910"/>
              </w:tabs>
              <w:spacing w:line="360" w:lineRule="exact"/>
              <w:jc w:val="center"/>
              <w:rPr>
                <w:b/>
                <w:spacing w:val="-4"/>
                <w:lang w:val="am-ET"/>
              </w:rPr>
            </w:pPr>
          </w:p>
          <w:p w:rsidR="0000280A" w:rsidRDefault="0000280A">
            <w:pPr>
              <w:tabs>
                <w:tab w:val="left" w:pos="910"/>
              </w:tabs>
              <w:spacing w:line="360" w:lineRule="exact"/>
              <w:jc w:val="center"/>
              <w:rPr>
                <w:b/>
                <w:spacing w:val="-4"/>
                <w:lang w:val="am-ET"/>
              </w:rPr>
            </w:pPr>
          </w:p>
          <w:p w:rsidR="0000280A" w:rsidRDefault="0000280A">
            <w:pPr>
              <w:tabs>
                <w:tab w:val="left" w:pos="910"/>
              </w:tabs>
              <w:spacing w:line="360" w:lineRule="exact"/>
              <w:jc w:val="center"/>
              <w:rPr>
                <w:b/>
                <w:spacing w:val="-4"/>
                <w:lang w:val="am-ET"/>
              </w:rPr>
            </w:pPr>
          </w:p>
          <w:p w:rsidR="0000280A" w:rsidRDefault="0000280A">
            <w:pPr>
              <w:tabs>
                <w:tab w:val="left" w:pos="910"/>
              </w:tabs>
              <w:spacing w:line="360" w:lineRule="exact"/>
              <w:jc w:val="center"/>
              <w:rPr>
                <w:spacing w:val="-4"/>
                <w:lang w:val="am-ET"/>
              </w:rPr>
            </w:pPr>
            <w:r>
              <w:rPr>
                <w:b/>
                <w:spacing w:val="-4"/>
                <w:lang w:val="am-ET"/>
              </w:rPr>
              <w:lastRenderedPageBreak/>
              <w:t>Nguyễn Hương Giang</w:t>
            </w:r>
          </w:p>
        </w:tc>
      </w:tr>
    </w:tbl>
    <w:p w:rsidR="0000280A" w:rsidRDefault="0000280A" w:rsidP="0000280A">
      <w:pPr>
        <w:spacing w:line="340" w:lineRule="exact"/>
        <w:jc w:val="both"/>
      </w:pPr>
    </w:p>
    <w:p w:rsidR="0000280A" w:rsidRDefault="0000280A" w:rsidP="0000280A"/>
    <w:p w:rsidR="00B91286" w:rsidRDefault="00B91286">
      <w:bookmarkStart w:id="0" w:name="_GoBack"/>
      <w:bookmarkEnd w:id="0"/>
    </w:p>
    <w:sectPr w:rsidR="00B91286" w:rsidSect="00BE0776">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80A"/>
    <w:rsid w:val="0000280A"/>
    <w:rsid w:val="00B91286"/>
    <w:rsid w:val="00BE0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80A"/>
    <w:pPr>
      <w:spacing w:after="0" w:line="240" w:lineRule="atLeast"/>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80A"/>
    <w:pPr>
      <w:spacing w:after="0" w:line="240" w:lineRule="atLeast"/>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3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89F14B-2C40-4992-AF04-DD0E01A5A70D}"/>
</file>

<file path=customXml/itemProps2.xml><?xml version="1.0" encoding="utf-8"?>
<ds:datastoreItem xmlns:ds="http://schemas.openxmlformats.org/officeDocument/2006/customXml" ds:itemID="{F91836B0-D319-4E73-897E-8E5E69254D1C}"/>
</file>

<file path=customXml/itemProps3.xml><?xml version="1.0" encoding="utf-8"?>
<ds:datastoreItem xmlns:ds="http://schemas.openxmlformats.org/officeDocument/2006/customXml" ds:itemID="{9D6490AC-0B7A-429F-B5F1-91997C84A1ED}"/>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3270</Characters>
  <Application>Microsoft Office Word</Application>
  <DocSecurity>0</DocSecurity>
  <Lines>27</Lines>
  <Paragraphs>7</Paragraphs>
  <ScaleCrop>false</ScaleCrop>
  <Company/>
  <LinksUpToDate>false</LinksUpToDate>
  <CharactersWithSpaces>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2018-08-10T07:31:00Z</dcterms:created>
  <dcterms:modified xsi:type="dcterms:W3CDTF">2018-08-10T07:31:00Z</dcterms:modified>
</cp:coreProperties>
</file>