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3" w:type="dxa"/>
        <w:tblInd w:w="-459" w:type="dxa"/>
        <w:tblLook w:val="04A0" w:firstRow="1" w:lastRow="0" w:firstColumn="1" w:lastColumn="0" w:noHBand="0" w:noVBand="1"/>
      </w:tblPr>
      <w:tblGrid>
        <w:gridCol w:w="4111"/>
        <w:gridCol w:w="6082"/>
      </w:tblGrid>
      <w:tr w:rsidR="006202CC" w:rsidTr="006202CC">
        <w:trPr>
          <w:trHeight w:val="1601"/>
        </w:trPr>
        <w:tc>
          <w:tcPr>
            <w:tcW w:w="4111" w:type="dxa"/>
          </w:tcPr>
          <w:p w:rsidR="006202CC" w:rsidRDefault="006202CC">
            <w:pPr>
              <w:jc w:val="center"/>
              <w:rPr>
                <w:b/>
                <w:bCs/>
                <w:sz w:val="26"/>
                <w:szCs w:val="28"/>
              </w:rPr>
            </w:pPr>
            <w:r>
              <w:rPr>
                <w:b/>
                <w:bCs/>
                <w:sz w:val="26"/>
                <w:szCs w:val="28"/>
              </w:rPr>
              <w:t xml:space="preserve">HỘI ĐỒNG NHÂN DÂN </w:t>
            </w:r>
          </w:p>
          <w:p w:rsidR="006202CC" w:rsidRDefault="006202CC">
            <w:pPr>
              <w:jc w:val="center"/>
              <w:rPr>
                <w:b/>
                <w:bCs/>
                <w:sz w:val="26"/>
                <w:szCs w:val="28"/>
              </w:rPr>
            </w:pPr>
            <w:r>
              <w:rPr>
                <w:b/>
                <w:bCs/>
                <w:sz w:val="26"/>
                <w:szCs w:val="28"/>
              </w:rPr>
              <w:t>TỈNH BẮC NINH</w:t>
            </w:r>
          </w:p>
          <w:p w:rsidR="006202CC" w:rsidRDefault="006202CC">
            <w:pPr>
              <w:jc w:val="center"/>
              <w:rPr>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706755</wp:posOffset>
                      </wp:positionH>
                      <wp:positionV relativeFrom="paragraph">
                        <wp:posOffset>20955</wp:posOffset>
                      </wp:positionV>
                      <wp:extent cx="1031240" cy="0"/>
                      <wp:effectExtent l="11430" t="11430" r="508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5pt" to="136.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2b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TrNJD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"/>
                  </w:pict>
                </mc:Fallback>
              </mc:AlternateContent>
            </w:r>
          </w:p>
          <w:p w:rsidR="006202CC" w:rsidRDefault="006202CC">
            <w:pPr>
              <w:jc w:val="center"/>
              <w:rPr>
                <w:sz w:val="28"/>
                <w:szCs w:val="28"/>
              </w:rPr>
            </w:pPr>
            <w:r>
              <w:rPr>
                <w:sz w:val="28"/>
                <w:szCs w:val="28"/>
              </w:rPr>
              <w:t>Số: 151/2018/NQ-HĐND</w:t>
            </w:r>
          </w:p>
        </w:tc>
        <w:tc>
          <w:tcPr>
            <w:tcW w:w="6082" w:type="dxa"/>
            <w:hideMark/>
          </w:tcPr>
          <w:p w:rsidR="006202CC" w:rsidRDefault="006202CC">
            <w:pPr>
              <w:jc w:val="center"/>
              <w:rPr>
                <w:b/>
                <w:bCs/>
                <w:sz w:val="26"/>
                <w:szCs w:val="28"/>
                <w:lang w:val="vi-VN"/>
              </w:rPr>
            </w:pPr>
            <w:r>
              <w:rPr>
                <w:b/>
                <w:bCs/>
                <w:sz w:val="26"/>
                <w:szCs w:val="28"/>
                <w:lang w:val="vi-VN"/>
              </w:rPr>
              <w:t>CỘNG HOÀ XÃ HỘI CHỦ NGHĨA VIỆT NAM</w:t>
            </w:r>
          </w:p>
          <w:p w:rsidR="006202CC" w:rsidRDefault="006202CC">
            <w:pPr>
              <w:pStyle w:val="Heading1"/>
              <w:rPr>
                <w:sz w:val="28"/>
                <w:szCs w:val="28"/>
                <w:lang w:val="en-US" w:eastAsia="en-US"/>
              </w:rPr>
            </w:pPr>
            <w:r>
              <w:rPr>
                <w:sz w:val="28"/>
                <w:szCs w:val="28"/>
                <w:lang w:val="en-US" w:eastAsia="en-US"/>
              </w:rPr>
              <w:t>Độc lập - Tự do - Hạnh phúc</w:t>
            </w:r>
          </w:p>
          <w:p w:rsidR="006202CC" w:rsidRDefault="006202CC">
            <w:pPr>
              <w:pStyle w:val="Heading2"/>
              <w:rPr>
                <w:szCs w:val="28"/>
                <w:lang w:val="en-US" w:eastAsia="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810895</wp:posOffset>
                      </wp:positionH>
                      <wp:positionV relativeFrom="paragraph">
                        <wp:posOffset>23495</wp:posOffset>
                      </wp:positionV>
                      <wp:extent cx="2074545" cy="0"/>
                      <wp:effectExtent l="10795" t="13970" r="1016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1.85pt" to="22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fC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4pJMc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"/>
                  </w:pict>
                </mc:Fallback>
              </mc:AlternateContent>
            </w:r>
            <w:r>
              <w:rPr>
                <w:szCs w:val="28"/>
                <w:lang w:val="en-US" w:eastAsia="en-US"/>
              </w:rPr>
              <w:t xml:space="preserve">        </w:t>
            </w:r>
          </w:p>
          <w:p w:rsidR="006202CC" w:rsidRDefault="006202CC">
            <w:pPr>
              <w:pStyle w:val="Heading2"/>
              <w:jc w:val="center"/>
              <w:rPr>
                <w:szCs w:val="28"/>
                <w:lang w:val="en-US" w:eastAsia="en-US"/>
              </w:rPr>
            </w:pPr>
            <w:r>
              <w:rPr>
                <w:szCs w:val="28"/>
                <w:lang w:val="en-US" w:eastAsia="en-US"/>
              </w:rPr>
              <w:t>Bắc Ninh, ngày 06 tháng 12</w:t>
            </w:r>
            <w:r>
              <w:rPr>
                <w:szCs w:val="28"/>
                <w:lang w:val="vi-VN" w:eastAsia="en-US"/>
              </w:rPr>
              <w:t xml:space="preserve"> </w:t>
            </w:r>
            <w:r>
              <w:rPr>
                <w:szCs w:val="28"/>
                <w:lang w:val="en-US" w:eastAsia="en-US"/>
              </w:rPr>
              <w:t>năm 2018</w:t>
            </w:r>
          </w:p>
        </w:tc>
      </w:tr>
    </w:tbl>
    <w:p w:rsidR="006202CC" w:rsidRDefault="006202CC" w:rsidP="006202CC">
      <w:pPr>
        <w:spacing w:before="120"/>
        <w:jc w:val="center"/>
        <w:rPr>
          <w:b/>
          <w:sz w:val="28"/>
          <w:szCs w:val="28"/>
        </w:rPr>
      </w:pPr>
      <w:r>
        <w:rPr>
          <w:b/>
          <w:sz w:val="28"/>
          <w:szCs w:val="28"/>
        </w:rPr>
        <w:t>NGHỊ QUYẾT</w:t>
      </w:r>
    </w:p>
    <w:p w:rsidR="006202CC" w:rsidRDefault="006202CC" w:rsidP="006202CC">
      <w:pPr>
        <w:spacing w:before="120"/>
        <w:jc w:val="center"/>
        <w:rPr>
          <w:b/>
          <w:sz w:val="28"/>
          <w:szCs w:val="28"/>
        </w:rPr>
      </w:pPr>
      <w:r>
        <w:rPr>
          <w:b/>
          <w:sz w:val="28"/>
          <w:szCs w:val="28"/>
        </w:rPr>
        <w:t>V/v Quy định chế độ, chính sách</w:t>
      </w:r>
    </w:p>
    <w:p w:rsidR="006202CC" w:rsidRDefault="006202CC" w:rsidP="006202CC">
      <w:pPr>
        <w:jc w:val="center"/>
        <w:rPr>
          <w:b/>
          <w:sz w:val="28"/>
          <w:szCs w:val="28"/>
        </w:rPr>
      </w:pPr>
      <w:r>
        <w:rPr>
          <w:b/>
          <w:sz w:val="28"/>
          <w:szCs w:val="28"/>
        </w:rPr>
        <w:t xml:space="preserve"> về an sinh xã hội đối với người cao tuổi trên địa bàn tỉnh </w:t>
      </w:r>
    </w:p>
    <w:p w:rsidR="006202CC" w:rsidRDefault="006202CC" w:rsidP="006202CC">
      <w:pPr>
        <w:spacing w:line="288" w:lineRule="auto"/>
        <w:jc w:val="center"/>
        <w:rPr>
          <w:b/>
          <w:sz w:val="1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2434590</wp:posOffset>
                </wp:positionH>
                <wp:positionV relativeFrom="paragraph">
                  <wp:posOffset>45085</wp:posOffset>
                </wp:positionV>
                <wp:extent cx="1104900" cy="0"/>
                <wp:effectExtent l="5715"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pt,3.55pt" to="27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k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m+SMFC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"/>
            </w:pict>
          </mc:Fallback>
        </mc:AlternateContent>
      </w:r>
    </w:p>
    <w:p w:rsidR="006202CC" w:rsidRDefault="006202CC" w:rsidP="006202CC">
      <w:pPr>
        <w:spacing w:line="288" w:lineRule="auto"/>
        <w:jc w:val="center"/>
        <w:rPr>
          <w:b/>
          <w:sz w:val="20"/>
          <w:szCs w:val="28"/>
        </w:rPr>
      </w:pPr>
    </w:p>
    <w:p w:rsidR="006202CC" w:rsidRDefault="006202CC" w:rsidP="006202CC">
      <w:pPr>
        <w:spacing w:line="288" w:lineRule="auto"/>
        <w:jc w:val="center"/>
        <w:rPr>
          <w:b/>
          <w:sz w:val="28"/>
          <w:szCs w:val="28"/>
        </w:rPr>
      </w:pPr>
      <w:r>
        <w:rPr>
          <w:b/>
          <w:sz w:val="28"/>
          <w:szCs w:val="28"/>
        </w:rPr>
        <w:t>HỘI ĐỒNG NHÂN DÂN TỈNH BẮC NINH</w:t>
      </w:r>
    </w:p>
    <w:p w:rsidR="006202CC" w:rsidRDefault="006202CC" w:rsidP="006202CC">
      <w:pPr>
        <w:spacing w:line="288" w:lineRule="auto"/>
        <w:jc w:val="center"/>
        <w:rPr>
          <w:b/>
          <w:sz w:val="28"/>
          <w:szCs w:val="28"/>
        </w:rPr>
      </w:pPr>
      <w:r>
        <w:rPr>
          <w:b/>
          <w:sz w:val="28"/>
          <w:szCs w:val="28"/>
        </w:rPr>
        <w:t>KHÓA XVIII, KỲ HỌP THỨ MƯỜI</w:t>
      </w:r>
    </w:p>
    <w:p w:rsidR="006202CC" w:rsidRDefault="006202CC" w:rsidP="006202CC">
      <w:pPr>
        <w:spacing w:line="288" w:lineRule="auto"/>
        <w:jc w:val="center"/>
        <w:rPr>
          <w:b/>
          <w:sz w:val="18"/>
          <w:szCs w:val="28"/>
        </w:rPr>
      </w:pPr>
    </w:p>
    <w:p w:rsidR="006202CC" w:rsidRDefault="006202CC" w:rsidP="006202CC">
      <w:pPr>
        <w:spacing w:before="80" w:after="80"/>
        <w:ind w:firstLine="576"/>
        <w:jc w:val="both"/>
        <w:rPr>
          <w:i/>
          <w:sz w:val="28"/>
          <w:szCs w:val="28"/>
        </w:rPr>
      </w:pPr>
      <w:r>
        <w:rPr>
          <w:i/>
          <w:sz w:val="28"/>
          <w:szCs w:val="28"/>
        </w:rPr>
        <w:t>Căn cứ Luật Tổ chức chính quyền địa phương năm 2015;</w:t>
      </w:r>
    </w:p>
    <w:p w:rsidR="006202CC" w:rsidRDefault="006202CC" w:rsidP="006202CC">
      <w:pPr>
        <w:spacing w:before="80" w:after="80"/>
        <w:ind w:firstLine="576"/>
        <w:jc w:val="both"/>
        <w:rPr>
          <w:i/>
          <w:sz w:val="28"/>
          <w:szCs w:val="28"/>
        </w:rPr>
      </w:pPr>
      <w:r>
        <w:rPr>
          <w:i/>
          <w:sz w:val="28"/>
          <w:szCs w:val="28"/>
        </w:rPr>
        <w:t>Căn cứ Luật Ban hành văn bản quy phạm pháp luật năm 2015;</w:t>
      </w:r>
    </w:p>
    <w:p w:rsidR="006202CC" w:rsidRDefault="006202CC" w:rsidP="006202CC">
      <w:pPr>
        <w:spacing w:before="80" w:after="80"/>
        <w:ind w:firstLine="576"/>
        <w:jc w:val="both"/>
        <w:rPr>
          <w:i/>
          <w:sz w:val="28"/>
          <w:szCs w:val="28"/>
        </w:rPr>
      </w:pPr>
      <w:r>
        <w:rPr>
          <w:i/>
          <w:sz w:val="28"/>
          <w:szCs w:val="28"/>
        </w:rPr>
        <w:t>Căn cứ Luật Ngân sách nhà nước năm 2015;</w:t>
      </w:r>
    </w:p>
    <w:p w:rsidR="006202CC" w:rsidRDefault="006202CC" w:rsidP="006202CC">
      <w:pPr>
        <w:spacing w:before="80" w:after="80"/>
        <w:ind w:firstLine="576"/>
        <w:jc w:val="both"/>
        <w:rPr>
          <w:i/>
          <w:sz w:val="28"/>
          <w:szCs w:val="28"/>
        </w:rPr>
      </w:pPr>
      <w:r>
        <w:rPr>
          <w:i/>
          <w:sz w:val="28"/>
          <w:szCs w:val="28"/>
        </w:rPr>
        <w:t>Căn cứ Luật Người cao tuổi năm 2009;</w:t>
      </w:r>
    </w:p>
    <w:p w:rsidR="006202CC" w:rsidRDefault="006202CC" w:rsidP="006202CC">
      <w:pPr>
        <w:spacing w:before="80" w:after="80"/>
        <w:ind w:firstLine="576"/>
        <w:jc w:val="both"/>
        <w:rPr>
          <w:i/>
          <w:sz w:val="28"/>
          <w:szCs w:val="28"/>
        </w:rPr>
      </w:pPr>
      <w:r>
        <w:rPr>
          <w:i/>
          <w:sz w:val="28"/>
          <w:szCs w:val="28"/>
        </w:rPr>
        <w:t xml:space="preserve">Căn cứ Pháp lệnh số 26/2005/PL-UBTVQH11 ngày 29/6/2005 về ưu đãi người có công với cách mạng; </w:t>
      </w:r>
    </w:p>
    <w:p w:rsidR="006202CC" w:rsidRDefault="006202CC" w:rsidP="006202CC">
      <w:pPr>
        <w:spacing w:before="80" w:after="80"/>
        <w:ind w:firstLine="576"/>
        <w:jc w:val="both"/>
        <w:rPr>
          <w:i/>
          <w:sz w:val="28"/>
          <w:szCs w:val="28"/>
        </w:rPr>
      </w:pPr>
      <w:r>
        <w:rPr>
          <w:i/>
          <w:sz w:val="28"/>
          <w:szCs w:val="28"/>
        </w:rPr>
        <w:t>Căn cứ Pháp lệnh số 04/2012/UBTVQH13 ngày 16/7/2012 sửa đổi, bổ sung một số điều của pháp lệnh ưu đãi người có công với cách mạng và các văn bản hướng dẫn thi hành;</w:t>
      </w:r>
    </w:p>
    <w:p w:rsidR="006202CC" w:rsidRDefault="006202CC" w:rsidP="006202CC">
      <w:pPr>
        <w:spacing w:before="80" w:after="80"/>
        <w:ind w:firstLine="576"/>
        <w:jc w:val="both"/>
        <w:rPr>
          <w:i/>
          <w:sz w:val="28"/>
          <w:szCs w:val="28"/>
        </w:rPr>
      </w:pPr>
      <w:r>
        <w:rPr>
          <w:i/>
          <w:sz w:val="28"/>
          <w:szCs w:val="28"/>
        </w:rPr>
        <w:t>Căn cứ Nghị định số 136/2013/NĐ-CP ngày 21/10/2013 của Chính phủ, quy định chính sách trợ giúp xã hội đối với đối tượng bảo trợ xã hội;</w:t>
      </w:r>
    </w:p>
    <w:p w:rsidR="006202CC" w:rsidRDefault="006202CC" w:rsidP="006202CC">
      <w:pPr>
        <w:spacing w:before="80" w:after="80"/>
        <w:ind w:firstLine="576"/>
        <w:jc w:val="both"/>
        <w:rPr>
          <w:i/>
          <w:sz w:val="28"/>
          <w:szCs w:val="28"/>
        </w:rPr>
      </w:pPr>
      <w:r>
        <w:rPr>
          <w:i/>
          <w:kern w:val="28"/>
          <w:sz w:val="28"/>
          <w:szCs w:val="28"/>
        </w:rPr>
        <w:t>Căn cứ Thông tư liên tịch số 29/2014/TTLT-BLĐTBXH-BTC ngày 24/10/2014 của liên Bộ Lao động - Thương binh và Xã hội, Bộ Tài chính Hướng dẫn thực hiện một số điều của Nghị định số 136/2013/NĐ-CP ngày 21/10/2013 của Chính phủ;</w:t>
      </w:r>
    </w:p>
    <w:p w:rsidR="006202CC" w:rsidRDefault="006202CC" w:rsidP="006202CC">
      <w:pPr>
        <w:spacing w:before="80" w:after="80"/>
        <w:ind w:firstLine="576"/>
        <w:jc w:val="both"/>
        <w:rPr>
          <w:i/>
          <w:sz w:val="28"/>
          <w:szCs w:val="28"/>
        </w:rPr>
      </w:pPr>
      <w:r>
        <w:rPr>
          <w:i/>
          <w:sz w:val="28"/>
          <w:szCs w:val="28"/>
        </w:rPr>
        <w:t xml:space="preserve">Căn cứ Nghị định số 146/2018/NĐ-CP ngày 17/10/2018 của Chính phủ, quy định chi tiết và hướng dẫn biện pháp thi hành một số Điều của Luật bảo hiểm y tế;  </w:t>
      </w:r>
    </w:p>
    <w:p w:rsidR="006202CC" w:rsidRDefault="006202CC" w:rsidP="006202CC">
      <w:pPr>
        <w:spacing w:before="80" w:after="80"/>
        <w:ind w:firstLine="576"/>
        <w:jc w:val="both"/>
        <w:rPr>
          <w:i/>
          <w:spacing w:val="-2"/>
          <w:sz w:val="28"/>
          <w:szCs w:val="28"/>
        </w:rPr>
      </w:pPr>
      <w:r>
        <w:rPr>
          <w:i/>
          <w:spacing w:val="-2"/>
          <w:sz w:val="28"/>
          <w:szCs w:val="28"/>
        </w:rPr>
        <w:t>Xét Tờ trình số 454/TTr-UBND ngày 29/11/2018 của Ủy ban nhân dân tỉnh, đề nghị quy định chế độ, chính sách về an sinh xã hội đối với người cao tuổi trên địa bàn tỉnh; báo cáo thẩm tra của Ban văn hóa- xã hội và ý kiến thảo luận của đại biểu.</w:t>
      </w:r>
    </w:p>
    <w:p w:rsidR="006202CC" w:rsidRDefault="006202CC" w:rsidP="006202CC">
      <w:pPr>
        <w:spacing w:before="240" w:after="240"/>
        <w:jc w:val="center"/>
        <w:rPr>
          <w:b/>
          <w:sz w:val="28"/>
          <w:szCs w:val="28"/>
        </w:rPr>
      </w:pPr>
      <w:r>
        <w:rPr>
          <w:b/>
          <w:sz w:val="28"/>
          <w:szCs w:val="28"/>
        </w:rPr>
        <w:t>QUYẾT NGHỊ:</w:t>
      </w:r>
    </w:p>
    <w:p w:rsidR="006202CC" w:rsidRDefault="006202CC" w:rsidP="006202CC">
      <w:pPr>
        <w:spacing w:before="100" w:after="100" w:line="264" w:lineRule="auto"/>
        <w:ind w:firstLine="576"/>
        <w:jc w:val="both"/>
        <w:rPr>
          <w:sz w:val="28"/>
          <w:szCs w:val="28"/>
        </w:rPr>
      </w:pPr>
      <w:r>
        <w:rPr>
          <w:b/>
          <w:sz w:val="28"/>
          <w:szCs w:val="28"/>
        </w:rPr>
        <w:t xml:space="preserve">Điều 1. </w:t>
      </w:r>
      <w:r>
        <w:rPr>
          <w:sz w:val="28"/>
          <w:szCs w:val="28"/>
        </w:rPr>
        <w:t>Hỗ trợ</w:t>
      </w:r>
      <w:r>
        <w:rPr>
          <w:sz w:val="28"/>
          <w:szCs w:val="28"/>
          <w:lang w:val="vi-VN"/>
        </w:rPr>
        <w:t xml:space="preserve"> 100% </w:t>
      </w:r>
      <w:r>
        <w:rPr>
          <w:sz w:val="28"/>
          <w:szCs w:val="28"/>
        </w:rPr>
        <w:t>kinh phí tham gia bảo hiểm y tế hàng năm đối với người cao tuổi từ đủ 65 tuổi đến dưới 80 tuổi, có hộ khẩu thường trú và đang sinh sống trên địa bàn tỉnh Bắc Ninh, chưa tham gia bảo hiểm y tế theo các đối tượng khác.</w:t>
      </w:r>
    </w:p>
    <w:p w:rsidR="006202CC" w:rsidRDefault="006202CC" w:rsidP="006202CC">
      <w:pPr>
        <w:spacing w:before="100" w:after="100" w:line="264" w:lineRule="auto"/>
        <w:ind w:firstLine="576"/>
        <w:jc w:val="both"/>
        <w:rPr>
          <w:b/>
          <w:sz w:val="28"/>
          <w:szCs w:val="28"/>
        </w:rPr>
      </w:pPr>
      <w:r>
        <w:rPr>
          <w:b/>
          <w:sz w:val="28"/>
          <w:szCs w:val="28"/>
        </w:rPr>
        <w:t>Điều 2. Đối tượng và mức hưởng trợ cấp hàng tháng:</w:t>
      </w:r>
    </w:p>
    <w:p w:rsidR="006202CC" w:rsidRDefault="006202CC" w:rsidP="006202CC">
      <w:pPr>
        <w:spacing w:before="100" w:after="100" w:line="264" w:lineRule="auto"/>
        <w:ind w:firstLine="576"/>
        <w:jc w:val="both"/>
        <w:rPr>
          <w:sz w:val="28"/>
        </w:rPr>
      </w:pPr>
      <w:r>
        <w:rPr>
          <w:b/>
          <w:sz w:val="28"/>
          <w:szCs w:val="28"/>
        </w:rPr>
        <w:lastRenderedPageBreak/>
        <w:t>1.</w:t>
      </w:r>
      <w:r>
        <w:rPr>
          <w:sz w:val="28"/>
          <w:szCs w:val="28"/>
        </w:rPr>
        <w:t xml:space="preserve"> Người cao tuổi từ đủ 70 tuổi đến dưới 80 tuổi: L</w:t>
      </w:r>
      <w:r>
        <w:rPr>
          <w:sz w:val="28"/>
        </w:rPr>
        <w:t>à người có công,</w:t>
      </w:r>
      <w:r>
        <w:rPr>
          <w:sz w:val="28"/>
          <w:lang w:val="vi-VN"/>
        </w:rPr>
        <w:t xml:space="preserve"> </w:t>
      </w:r>
      <w:r>
        <w:rPr>
          <w:sz w:val="28"/>
        </w:rPr>
        <w:t>thân nhân người có công, vợ hoặc chồng liệt sỹ đi lấy chồng hoặc lấy vợ khác đang hưởng trợ cấp ưu đãi hàng</w:t>
      </w:r>
      <w:r>
        <w:rPr>
          <w:b/>
          <w:sz w:val="28"/>
        </w:rPr>
        <w:t xml:space="preserve"> </w:t>
      </w:r>
      <w:r>
        <w:rPr>
          <w:sz w:val="28"/>
        </w:rPr>
        <w:t>thán</w:t>
      </w:r>
      <w:r>
        <w:rPr>
          <w:sz w:val="28"/>
          <w:lang w:val="vi-VN"/>
        </w:rPr>
        <w:t>g</w:t>
      </w:r>
      <w:r>
        <w:rPr>
          <w:sz w:val="28"/>
        </w:rPr>
        <w:t xml:space="preserve">; là người không có lương hưu hoặc các khoản trợ cấp khác, hiện có hộ khẩu thường trú và đang sinh sống trên địa bàn tỉnh Bắc Ninh được hưởng chế độ trợ cấp hàng tháng, cụ thể như sau: </w:t>
      </w:r>
    </w:p>
    <w:p w:rsidR="006202CC" w:rsidRDefault="006202CC" w:rsidP="006202CC">
      <w:pPr>
        <w:spacing w:before="100" w:after="100" w:line="264" w:lineRule="auto"/>
        <w:ind w:firstLine="576"/>
        <w:jc w:val="both"/>
        <w:rPr>
          <w:sz w:val="28"/>
          <w:szCs w:val="28"/>
        </w:rPr>
      </w:pPr>
      <w:r>
        <w:rPr>
          <w:sz w:val="28"/>
          <w:szCs w:val="28"/>
        </w:rPr>
        <w:t>a) Từ đủ 70 tuổi đến dưới 75 tuổi: 150.000 đồng/người/tháng;</w:t>
      </w:r>
    </w:p>
    <w:p w:rsidR="006202CC" w:rsidRDefault="006202CC" w:rsidP="006202CC">
      <w:pPr>
        <w:spacing w:before="100" w:after="100" w:line="264" w:lineRule="auto"/>
        <w:ind w:firstLine="576"/>
        <w:jc w:val="both"/>
        <w:rPr>
          <w:sz w:val="28"/>
          <w:szCs w:val="28"/>
        </w:rPr>
      </w:pPr>
      <w:r>
        <w:rPr>
          <w:sz w:val="28"/>
          <w:szCs w:val="28"/>
        </w:rPr>
        <w:t>b) Từ đủ 75 tuổi đến dưới 80 tuổi: 200.000 đồng/người/tháng.</w:t>
      </w:r>
    </w:p>
    <w:p w:rsidR="006202CC" w:rsidRDefault="006202CC" w:rsidP="006202CC">
      <w:pPr>
        <w:spacing w:before="100" w:after="100" w:line="264" w:lineRule="auto"/>
        <w:ind w:firstLine="576"/>
        <w:jc w:val="both"/>
        <w:rPr>
          <w:spacing w:val="-2"/>
          <w:sz w:val="28"/>
          <w:szCs w:val="28"/>
        </w:rPr>
      </w:pPr>
      <w:r>
        <w:rPr>
          <w:b/>
          <w:spacing w:val="-2"/>
          <w:sz w:val="28"/>
          <w:szCs w:val="28"/>
        </w:rPr>
        <w:t>2.</w:t>
      </w:r>
      <w:r>
        <w:rPr>
          <w:spacing w:val="-2"/>
          <w:sz w:val="28"/>
          <w:szCs w:val="28"/>
        </w:rPr>
        <w:t xml:space="preserve"> Đảng viên dưới 75 tuổi được tặng huy hiệu 40 năm tuổi đảng trở lên đang hưởng chế độ tuất liệt sỹ hoặc không có lương hưu và các khoản trợ cấp khác, hiện có hộ khẩu thường trú và đang sinh sống trên địa bàn tỉnh Bắc Ninh, được hưởng chế độ trợ cấp là 200.000 đồng/tháng và 01 thẻ bảo hiểm y tế cho đến khi đủ 75 tuổi.</w:t>
      </w:r>
    </w:p>
    <w:p w:rsidR="006202CC" w:rsidRDefault="006202CC" w:rsidP="006202CC">
      <w:pPr>
        <w:spacing w:before="100" w:after="100" w:line="264" w:lineRule="auto"/>
        <w:ind w:firstLine="576"/>
        <w:jc w:val="both"/>
        <w:rPr>
          <w:sz w:val="28"/>
          <w:szCs w:val="28"/>
        </w:rPr>
      </w:pPr>
      <w:r>
        <w:rPr>
          <w:b/>
          <w:sz w:val="28"/>
          <w:szCs w:val="28"/>
        </w:rPr>
        <w:t>3.</w:t>
      </w:r>
      <w:r>
        <w:rPr>
          <w:sz w:val="28"/>
          <w:szCs w:val="28"/>
        </w:rPr>
        <w:t xml:space="preserve"> Người cao tuổi cô đơn, không nơi nương tựa và thuộc diện hộ nghèo, đang hưởng trợ cấp bảo trợ xã hội theo Nghị định số 136/2013/NĐ-CP ngày 21/10/2013, có hộ khẩu thường trú và hiện đang sinh sống trên địa bàn tỉnh Bắc Ninh, được hưởng chế độ trợ cấp hàng tháng, cụ thể:</w:t>
      </w:r>
    </w:p>
    <w:p w:rsidR="006202CC" w:rsidRDefault="006202CC" w:rsidP="006202CC">
      <w:pPr>
        <w:spacing w:before="100" w:after="100" w:line="264" w:lineRule="auto"/>
        <w:ind w:firstLine="576"/>
        <w:jc w:val="both"/>
        <w:rPr>
          <w:sz w:val="28"/>
          <w:szCs w:val="28"/>
        </w:rPr>
      </w:pPr>
      <w:r>
        <w:rPr>
          <w:sz w:val="28"/>
          <w:szCs w:val="28"/>
        </w:rPr>
        <w:t>a) Từ đủ 60 tuổi đến dưới 75 tuổi: 150.000 đồng/người/tháng;</w:t>
      </w:r>
    </w:p>
    <w:p w:rsidR="006202CC" w:rsidRDefault="006202CC" w:rsidP="006202CC">
      <w:pPr>
        <w:spacing w:before="100" w:after="100" w:line="264" w:lineRule="auto"/>
        <w:ind w:firstLine="576"/>
        <w:jc w:val="both"/>
        <w:rPr>
          <w:sz w:val="28"/>
          <w:szCs w:val="28"/>
        </w:rPr>
      </w:pPr>
      <w:r>
        <w:rPr>
          <w:sz w:val="28"/>
          <w:szCs w:val="28"/>
        </w:rPr>
        <w:t>b) Từ đủ 75 tuổi trở lên: 200.000 đồng/người/tháng.</w:t>
      </w:r>
    </w:p>
    <w:p w:rsidR="006202CC" w:rsidRDefault="006202CC" w:rsidP="006202CC">
      <w:pPr>
        <w:spacing w:before="100" w:after="100" w:line="264" w:lineRule="auto"/>
        <w:ind w:firstLine="576"/>
        <w:jc w:val="both"/>
        <w:rPr>
          <w:sz w:val="28"/>
          <w:szCs w:val="28"/>
        </w:rPr>
      </w:pPr>
      <w:r>
        <w:rPr>
          <w:sz w:val="28"/>
          <w:szCs w:val="28"/>
        </w:rPr>
        <w:t>4. Nguồn kinh phí hỗ trợ: Từ ngân sách của tỉnh.</w:t>
      </w:r>
    </w:p>
    <w:p w:rsidR="006202CC" w:rsidRDefault="006202CC" w:rsidP="006202CC">
      <w:pPr>
        <w:spacing w:before="100" w:after="100" w:line="264" w:lineRule="auto"/>
        <w:ind w:firstLine="576"/>
        <w:jc w:val="both"/>
        <w:rPr>
          <w:sz w:val="28"/>
          <w:szCs w:val="28"/>
        </w:rPr>
      </w:pPr>
      <w:r>
        <w:rPr>
          <w:b/>
          <w:sz w:val="28"/>
          <w:szCs w:val="28"/>
        </w:rPr>
        <w:t>Điều 3.</w:t>
      </w:r>
      <w:r>
        <w:rPr>
          <w:sz w:val="28"/>
          <w:szCs w:val="28"/>
        </w:rPr>
        <w:t xml:space="preserve"> Giao Ủy ban nhân dân tỉnh tổ chức thực hiện Nghị quyết này. Hằng năm, báo cáo kết quả thực hiện tại kỳ họp thường lệ cuối năm của Hội đồng nhân dân tỉnh.</w:t>
      </w:r>
    </w:p>
    <w:p w:rsidR="006202CC" w:rsidRDefault="006202CC" w:rsidP="006202CC">
      <w:pPr>
        <w:spacing w:before="100" w:after="100" w:line="264" w:lineRule="auto"/>
        <w:ind w:firstLine="576"/>
        <w:jc w:val="both"/>
        <w:rPr>
          <w:sz w:val="28"/>
          <w:szCs w:val="28"/>
        </w:rPr>
      </w:pPr>
      <w:r>
        <w:rPr>
          <w:b/>
          <w:sz w:val="28"/>
          <w:szCs w:val="28"/>
        </w:rPr>
        <w:t>Điều 4.</w:t>
      </w:r>
      <w:r>
        <w:rPr>
          <w:sz w:val="28"/>
          <w:szCs w:val="28"/>
        </w:rPr>
        <w:t xml:space="preserve"> Nghị quyết này thay thế Nghị quyết số 101/2018/NQ-HĐND ngày 17/4/2018 của Hội đồng nhân dân tỉnh về việc Quy định chế độ, chính sách về an sinh xã hội đối với người cao tuổi trên địa bàn tỉnh.</w:t>
      </w:r>
    </w:p>
    <w:p w:rsidR="006202CC" w:rsidRDefault="006202CC" w:rsidP="006202CC">
      <w:pPr>
        <w:spacing w:before="100" w:after="100" w:line="264" w:lineRule="auto"/>
        <w:ind w:firstLine="576"/>
        <w:jc w:val="both"/>
        <w:rPr>
          <w:sz w:val="28"/>
          <w:szCs w:val="28"/>
        </w:rPr>
      </w:pPr>
      <w:r>
        <w:rPr>
          <w:sz w:val="28"/>
          <w:szCs w:val="28"/>
        </w:rPr>
        <w:t>Thường trực Hội đồng nhân dân tỉnh, các Ban Hội đồng nhân dân, các Tổ đại biểu và đại biểu Hội đồng nhân dân tỉnh có trách nhiệm đôn đốc, giám sát, kiểm tra việc thực hiện Nghị quyết này.</w:t>
      </w:r>
    </w:p>
    <w:p w:rsidR="006202CC" w:rsidRDefault="006202CC" w:rsidP="006202CC">
      <w:pPr>
        <w:spacing w:before="100" w:after="240" w:line="264" w:lineRule="auto"/>
        <w:ind w:firstLine="576"/>
        <w:jc w:val="both"/>
        <w:rPr>
          <w:sz w:val="28"/>
          <w:szCs w:val="28"/>
        </w:rPr>
      </w:pPr>
      <w:r>
        <w:rPr>
          <w:sz w:val="28"/>
          <w:szCs w:val="28"/>
        </w:rPr>
        <w:t>Nghị quyết này được Hội đồng nhân dân tỉnh Bắc Ninh khóa XVIII, kỳ họp thứ Mười thông qua ngày 06/12/2018 và có hiệu lực từ ngày 01/01/2019./.</w:t>
      </w:r>
    </w:p>
    <w:p w:rsidR="006202CC" w:rsidRDefault="006202CC" w:rsidP="006202CC">
      <w:pPr>
        <w:spacing w:before="40"/>
        <w:jc w:val="both"/>
        <w:rPr>
          <w:sz w:val="4"/>
          <w:szCs w:val="28"/>
        </w:rPr>
      </w:pPr>
    </w:p>
    <w:tbl>
      <w:tblPr>
        <w:tblW w:w="0" w:type="auto"/>
        <w:tblLook w:val="04A0" w:firstRow="1" w:lastRow="0" w:firstColumn="1" w:lastColumn="0" w:noHBand="0" w:noVBand="1"/>
      </w:tblPr>
      <w:tblGrid>
        <w:gridCol w:w="5688"/>
        <w:gridCol w:w="3600"/>
      </w:tblGrid>
      <w:tr w:rsidR="006202CC" w:rsidTr="006202CC">
        <w:tc>
          <w:tcPr>
            <w:tcW w:w="5688" w:type="dxa"/>
            <w:hideMark/>
          </w:tcPr>
          <w:p w:rsidR="006202CC" w:rsidRDefault="006202CC">
            <w:pPr>
              <w:rPr>
                <w:b/>
                <w:i/>
              </w:rPr>
            </w:pPr>
            <w:r>
              <w:rPr>
                <w:b/>
                <w:i/>
              </w:rPr>
              <w:t>Nơi nhận:</w:t>
            </w:r>
          </w:p>
          <w:p w:rsidR="006202CC" w:rsidRDefault="006202CC">
            <w:pPr>
              <w:rPr>
                <w:sz w:val="22"/>
                <w:szCs w:val="22"/>
              </w:rPr>
            </w:pPr>
            <w:r>
              <w:rPr>
                <w:sz w:val="22"/>
                <w:szCs w:val="22"/>
              </w:rPr>
              <w:t>- UBTVQH; Chính phủ (b/c);</w:t>
            </w:r>
          </w:p>
          <w:p w:rsidR="006202CC" w:rsidRDefault="006202CC">
            <w:pPr>
              <w:rPr>
                <w:sz w:val="22"/>
                <w:szCs w:val="22"/>
              </w:rPr>
            </w:pPr>
            <w:r>
              <w:rPr>
                <w:sz w:val="22"/>
                <w:szCs w:val="22"/>
              </w:rPr>
              <w:t>- Bộ LĐTBXH, Bộ Y tế, BHXH VN (b/c);</w:t>
            </w:r>
          </w:p>
          <w:p w:rsidR="006202CC" w:rsidRDefault="006202CC">
            <w:pPr>
              <w:rPr>
                <w:sz w:val="22"/>
                <w:szCs w:val="22"/>
              </w:rPr>
            </w:pPr>
            <w:r>
              <w:rPr>
                <w:sz w:val="22"/>
                <w:szCs w:val="22"/>
              </w:rPr>
              <w:t>- Bộ Tư pháp (Cục KTVB);</w:t>
            </w:r>
          </w:p>
          <w:p w:rsidR="006202CC" w:rsidRDefault="006202CC">
            <w:pPr>
              <w:rPr>
                <w:sz w:val="22"/>
                <w:szCs w:val="22"/>
              </w:rPr>
            </w:pPr>
            <w:r>
              <w:rPr>
                <w:sz w:val="22"/>
                <w:szCs w:val="22"/>
              </w:rPr>
              <w:t>- TT Tỉnh ủy, HĐND, UBND, UBMTTQ tỉnh;</w:t>
            </w:r>
          </w:p>
          <w:p w:rsidR="006202CC" w:rsidRDefault="006202CC">
            <w:pPr>
              <w:rPr>
                <w:sz w:val="22"/>
                <w:szCs w:val="22"/>
              </w:rPr>
            </w:pPr>
            <w:r>
              <w:rPr>
                <w:sz w:val="22"/>
                <w:szCs w:val="22"/>
              </w:rPr>
              <w:t>- Đoàn Đại biểu Quốc hội tỉnh;</w:t>
            </w:r>
          </w:p>
          <w:p w:rsidR="006202CC" w:rsidRDefault="006202CC">
            <w:pPr>
              <w:rPr>
                <w:sz w:val="22"/>
                <w:szCs w:val="22"/>
              </w:rPr>
            </w:pPr>
            <w:r>
              <w:rPr>
                <w:sz w:val="22"/>
                <w:szCs w:val="22"/>
              </w:rPr>
              <w:t>- VKSND; TAND tỉnh;</w:t>
            </w:r>
          </w:p>
          <w:p w:rsidR="006202CC" w:rsidRDefault="006202CC">
            <w:pPr>
              <w:rPr>
                <w:sz w:val="22"/>
                <w:szCs w:val="22"/>
              </w:rPr>
            </w:pPr>
            <w:r>
              <w:rPr>
                <w:sz w:val="22"/>
                <w:szCs w:val="22"/>
              </w:rPr>
              <w:lastRenderedPageBreak/>
              <w:t>- Các Ban HĐND; các đại biểu HĐND tỉnh;</w:t>
            </w:r>
          </w:p>
          <w:p w:rsidR="006202CC" w:rsidRDefault="006202CC">
            <w:pPr>
              <w:rPr>
                <w:sz w:val="22"/>
                <w:szCs w:val="22"/>
              </w:rPr>
            </w:pPr>
            <w:r>
              <w:rPr>
                <w:sz w:val="22"/>
                <w:szCs w:val="22"/>
              </w:rPr>
              <w:t>- VP: TU, UBND tỉnh;</w:t>
            </w:r>
          </w:p>
          <w:p w:rsidR="006202CC" w:rsidRDefault="006202CC">
            <w:pPr>
              <w:rPr>
                <w:sz w:val="22"/>
                <w:szCs w:val="22"/>
              </w:rPr>
            </w:pPr>
            <w:r>
              <w:rPr>
                <w:sz w:val="22"/>
                <w:szCs w:val="22"/>
              </w:rPr>
              <w:t>- Các Sở, ban, ngành, đoàn thể tỉnh;</w:t>
            </w:r>
          </w:p>
          <w:p w:rsidR="006202CC" w:rsidRDefault="006202CC">
            <w:pPr>
              <w:rPr>
                <w:sz w:val="22"/>
                <w:szCs w:val="22"/>
              </w:rPr>
            </w:pPr>
            <w:r>
              <w:rPr>
                <w:sz w:val="22"/>
                <w:szCs w:val="22"/>
              </w:rPr>
              <w:t>- Các cơ quan Trung ương đóng trên địa bàn tỉnh;</w:t>
            </w:r>
          </w:p>
          <w:p w:rsidR="006202CC" w:rsidRDefault="006202CC">
            <w:pPr>
              <w:rPr>
                <w:sz w:val="22"/>
                <w:szCs w:val="22"/>
              </w:rPr>
            </w:pPr>
            <w:r>
              <w:rPr>
                <w:sz w:val="22"/>
                <w:szCs w:val="22"/>
              </w:rPr>
              <w:t>- Các huyện ủy, thị ủy, thành ủy;</w:t>
            </w:r>
          </w:p>
          <w:p w:rsidR="006202CC" w:rsidRDefault="006202CC">
            <w:pPr>
              <w:rPr>
                <w:sz w:val="22"/>
                <w:szCs w:val="22"/>
              </w:rPr>
            </w:pPr>
            <w:r>
              <w:rPr>
                <w:sz w:val="22"/>
                <w:szCs w:val="22"/>
              </w:rPr>
              <w:t>- TTHĐND, UBND các huyện, thị xã, thành phố;</w:t>
            </w:r>
          </w:p>
          <w:p w:rsidR="006202CC" w:rsidRDefault="006202CC">
            <w:pPr>
              <w:rPr>
                <w:sz w:val="22"/>
                <w:szCs w:val="22"/>
              </w:rPr>
            </w:pPr>
            <w:r>
              <w:rPr>
                <w:sz w:val="22"/>
                <w:szCs w:val="22"/>
              </w:rPr>
              <w:t xml:space="preserve">- Công báo, Đài PTTH, cổng TTĐT tỉnh, </w:t>
            </w:r>
          </w:p>
          <w:p w:rsidR="006202CC" w:rsidRDefault="006202CC">
            <w:pPr>
              <w:rPr>
                <w:sz w:val="22"/>
                <w:szCs w:val="22"/>
              </w:rPr>
            </w:pPr>
            <w:r>
              <w:rPr>
                <w:sz w:val="22"/>
                <w:szCs w:val="22"/>
              </w:rPr>
              <w:t xml:space="preserve">  Báo BN, TTXVN tại BN;</w:t>
            </w:r>
          </w:p>
          <w:p w:rsidR="006202CC" w:rsidRDefault="006202CC">
            <w:pPr>
              <w:rPr>
                <w:sz w:val="22"/>
                <w:szCs w:val="22"/>
              </w:rPr>
            </w:pPr>
            <w:r>
              <w:rPr>
                <w:sz w:val="22"/>
                <w:szCs w:val="22"/>
              </w:rPr>
              <w:t>- VP: CVP, phòng TH; lưu VT.</w:t>
            </w:r>
          </w:p>
        </w:tc>
        <w:tc>
          <w:tcPr>
            <w:tcW w:w="3600" w:type="dxa"/>
          </w:tcPr>
          <w:p w:rsidR="006202CC" w:rsidRDefault="006202CC">
            <w:pPr>
              <w:jc w:val="center"/>
              <w:rPr>
                <w:b/>
                <w:sz w:val="28"/>
                <w:szCs w:val="28"/>
              </w:rPr>
            </w:pPr>
            <w:r>
              <w:rPr>
                <w:b/>
                <w:sz w:val="28"/>
                <w:szCs w:val="28"/>
              </w:rPr>
              <w:lastRenderedPageBreak/>
              <w:t>KT. CHỦ TỊCH</w:t>
            </w:r>
          </w:p>
          <w:p w:rsidR="006202CC" w:rsidRDefault="006202CC">
            <w:pPr>
              <w:jc w:val="center"/>
              <w:rPr>
                <w:b/>
                <w:sz w:val="28"/>
                <w:szCs w:val="28"/>
              </w:rPr>
            </w:pPr>
            <w:r>
              <w:rPr>
                <w:b/>
                <w:sz w:val="28"/>
                <w:szCs w:val="28"/>
              </w:rPr>
              <w:t>PHÓ CHỦ TỊCH</w:t>
            </w:r>
          </w:p>
          <w:p w:rsidR="006202CC" w:rsidRDefault="006202CC">
            <w:pPr>
              <w:jc w:val="center"/>
              <w:rPr>
                <w:b/>
                <w:sz w:val="28"/>
                <w:szCs w:val="28"/>
              </w:rPr>
            </w:pPr>
          </w:p>
          <w:p w:rsidR="006202CC" w:rsidRDefault="006202CC">
            <w:pPr>
              <w:jc w:val="center"/>
              <w:rPr>
                <w:b/>
                <w:sz w:val="28"/>
                <w:szCs w:val="28"/>
              </w:rPr>
            </w:pPr>
          </w:p>
          <w:p w:rsidR="006202CC" w:rsidRDefault="006202CC">
            <w:pPr>
              <w:jc w:val="center"/>
              <w:rPr>
                <w:b/>
                <w:sz w:val="28"/>
                <w:szCs w:val="28"/>
              </w:rPr>
            </w:pPr>
          </w:p>
          <w:p w:rsidR="006202CC" w:rsidRDefault="006202CC">
            <w:pPr>
              <w:jc w:val="center"/>
              <w:rPr>
                <w:b/>
                <w:sz w:val="28"/>
                <w:szCs w:val="28"/>
              </w:rPr>
            </w:pPr>
          </w:p>
          <w:p w:rsidR="006202CC" w:rsidRDefault="006202CC">
            <w:pPr>
              <w:jc w:val="center"/>
              <w:rPr>
                <w:b/>
                <w:sz w:val="28"/>
                <w:szCs w:val="28"/>
              </w:rPr>
            </w:pPr>
          </w:p>
          <w:p w:rsidR="006202CC" w:rsidRDefault="006202CC">
            <w:pPr>
              <w:jc w:val="center"/>
              <w:rPr>
                <w:b/>
                <w:sz w:val="28"/>
                <w:szCs w:val="28"/>
              </w:rPr>
            </w:pPr>
          </w:p>
          <w:p w:rsidR="006202CC" w:rsidRDefault="006202CC">
            <w:pPr>
              <w:jc w:val="center"/>
              <w:rPr>
                <w:sz w:val="28"/>
                <w:szCs w:val="28"/>
              </w:rPr>
            </w:pPr>
            <w:r>
              <w:rPr>
                <w:b/>
                <w:sz w:val="28"/>
                <w:szCs w:val="28"/>
              </w:rPr>
              <w:t>Nguyễn Xuân Thu</w:t>
            </w:r>
          </w:p>
        </w:tc>
      </w:tr>
    </w:tbl>
    <w:p w:rsidR="006202CC" w:rsidRDefault="006202CC" w:rsidP="006202CC"/>
    <w:p w:rsidR="00B91286" w:rsidRDefault="00B91286">
      <w:bookmarkStart w:id="0" w:name="_GoBack"/>
      <w:bookmarkEnd w:id="0"/>
    </w:p>
    <w:sectPr w:rsidR="00B91286" w:rsidSect="00BE077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CC"/>
    <w:rsid w:val="006202CC"/>
    <w:rsid w:val="00B91286"/>
    <w:rsid w:val="00BE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C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202CC"/>
    <w:pPr>
      <w:keepNext/>
      <w:jc w:val="center"/>
      <w:outlineLvl w:val="0"/>
    </w:pPr>
    <w:rPr>
      <w:b/>
      <w:bCs/>
      <w:sz w:val="26"/>
      <w:lang w:val="x-none" w:eastAsia="x-none"/>
    </w:rPr>
  </w:style>
  <w:style w:type="paragraph" w:styleId="Heading2">
    <w:name w:val="heading 2"/>
    <w:basedOn w:val="Normal"/>
    <w:next w:val="Normal"/>
    <w:link w:val="Heading2Char"/>
    <w:unhideWhenUsed/>
    <w:qFormat/>
    <w:rsid w:val="006202CC"/>
    <w:pPr>
      <w:keepNext/>
      <w:jc w:val="right"/>
      <w:outlineLvl w:val="1"/>
    </w:pPr>
    <w:rPr>
      <w:i/>
      <w:i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2CC"/>
    <w:rPr>
      <w:rFonts w:eastAsia="Times New Roman" w:cs="Times New Roman"/>
      <w:b/>
      <w:bCs/>
      <w:sz w:val="26"/>
      <w:szCs w:val="24"/>
      <w:lang w:val="x-none" w:eastAsia="x-none"/>
    </w:rPr>
  </w:style>
  <w:style w:type="character" w:customStyle="1" w:styleId="Heading2Char">
    <w:name w:val="Heading 2 Char"/>
    <w:basedOn w:val="DefaultParagraphFont"/>
    <w:link w:val="Heading2"/>
    <w:rsid w:val="006202CC"/>
    <w:rPr>
      <w:rFonts w:eastAsia="Times New Roman" w:cs="Times New Roman"/>
      <w:i/>
      <w:iCs/>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C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202CC"/>
    <w:pPr>
      <w:keepNext/>
      <w:jc w:val="center"/>
      <w:outlineLvl w:val="0"/>
    </w:pPr>
    <w:rPr>
      <w:b/>
      <w:bCs/>
      <w:sz w:val="26"/>
      <w:lang w:val="x-none" w:eastAsia="x-none"/>
    </w:rPr>
  </w:style>
  <w:style w:type="paragraph" w:styleId="Heading2">
    <w:name w:val="heading 2"/>
    <w:basedOn w:val="Normal"/>
    <w:next w:val="Normal"/>
    <w:link w:val="Heading2Char"/>
    <w:unhideWhenUsed/>
    <w:qFormat/>
    <w:rsid w:val="006202CC"/>
    <w:pPr>
      <w:keepNext/>
      <w:jc w:val="right"/>
      <w:outlineLvl w:val="1"/>
    </w:pPr>
    <w:rPr>
      <w:i/>
      <w:i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2CC"/>
    <w:rPr>
      <w:rFonts w:eastAsia="Times New Roman" w:cs="Times New Roman"/>
      <w:b/>
      <w:bCs/>
      <w:sz w:val="26"/>
      <w:szCs w:val="24"/>
      <w:lang w:val="x-none" w:eastAsia="x-none"/>
    </w:rPr>
  </w:style>
  <w:style w:type="character" w:customStyle="1" w:styleId="Heading2Char">
    <w:name w:val="Heading 2 Char"/>
    <w:basedOn w:val="DefaultParagraphFont"/>
    <w:link w:val="Heading2"/>
    <w:rsid w:val="006202CC"/>
    <w:rPr>
      <w:rFonts w:eastAsia="Times New Roman" w:cs="Times New Roman"/>
      <w:i/>
      <w:i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4B4C3-32B5-490E-B791-AEC9556BE49E}"/>
</file>

<file path=customXml/itemProps2.xml><?xml version="1.0" encoding="utf-8"?>
<ds:datastoreItem xmlns:ds="http://schemas.openxmlformats.org/officeDocument/2006/customXml" ds:itemID="{905CF985-6F0A-4178-837A-00F4911C4340}"/>
</file>

<file path=customXml/itemProps3.xml><?xml version="1.0" encoding="utf-8"?>
<ds:datastoreItem xmlns:ds="http://schemas.openxmlformats.org/officeDocument/2006/customXml" ds:itemID="{052A56F2-E46B-46DB-BDF0-A298514DF846}"/>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2018-12-24T02:19:00Z</dcterms:created>
  <dcterms:modified xsi:type="dcterms:W3CDTF">2018-12-24T02:19:00Z</dcterms:modified>
</cp:coreProperties>
</file>