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713"/>
        <w:gridCol w:w="6076"/>
      </w:tblGrid>
      <w:tr w:rsidR="00D26F79" w:rsidTr="00D26F79">
        <w:trPr>
          <w:jc w:val="center"/>
        </w:trPr>
        <w:tc>
          <w:tcPr>
            <w:tcW w:w="2713" w:type="dxa"/>
            <w:hideMark/>
          </w:tcPr>
          <w:p w:rsidR="00D26F79" w:rsidRDefault="00D26F79">
            <w:pPr>
              <w:pageBreakBefore/>
              <w:ind w:right="-327"/>
              <w:rPr>
                <w:b/>
                <w:sz w:val="26"/>
                <w:szCs w:val="26"/>
                <w:lang w:val="nl-NL"/>
              </w:rPr>
            </w:pPr>
            <w:r>
              <w:rPr>
                <w:b/>
                <w:sz w:val="26"/>
                <w:szCs w:val="26"/>
                <w:lang w:val="nl-NL"/>
              </w:rPr>
              <w:t>ỦY BAN NHÂN DÂN</w:t>
            </w:r>
          </w:p>
          <w:p w:rsidR="00D26F79" w:rsidRDefault="00D26F79">
            <w:pPr>
              <w:jc w:val="center"/>
              <w:rPr>
                <w:b/>
                <w:sz w:val="26"/>
                <w:szCs w:val="26"/>
                <w:lang w:val="nl-NL"/>
              </w:rPr>
            </w:pPr>
            <w:r>
              <w:rPr>
                <w:b/>
                <w:sz w:val="26"/>
                <w:szCs w:val="26"/>
                <w:lang w:val="nl-NL"/>
              </w:rPr>
              <w:t>TỈNH GIA LAI</w:t>
            </w:r>
          </w:p>
          <w:p w:rsidR="00D26F79" w:rsidRDefault="00D26F79">
            <w:pPr>
              <w:spacing w:after="120" w:line="120" w:lineRule="auto"/>
              <w:jc w:val="center"/>
              <w:rPr>
                <w:sz w:val="26"/>
                <w:szCs w:val="26"/>
                <w:lang w:val="nl-NL"/>
              </w:rPr>
            </w:pPr>
            <w:r>
              <w:rPr>
                <w:color w:val="FFFFFF"/>
                <w:sz w:val="26"/>
                <w:szCs w:val="26"/>
                <w:lang w:val="nl-NL"/>
              </w:rPr>
              <w:t>.</w:t>
            </w:r>
            <w:r>
              <w:rPr>
                <w:strike/>
                <w:sz w:val="26"/>
                <w:szCs w:val="26"/>
                <w:lang w:val="nl-NL"/>
              </w:rPr>
              <w:t xml:space="preserve">              </w:t>
            </w:r>
            <w:r>
              <w:rPr>
                <w:color w:val="FFFFFF"/>
                <w:sz w:val="26"/>
                <w:szCs w:val="26"/>
                <w:lang w:val="nl-NL"/>
              </w:rPr>
              <w:t>.</w:t>
            </w:r>
          </w:p>
          <w:p w:rsidR="00D26F79" w:rsidRDefault="00D26F79">
            <w:pPr>
              <w:jc w:val="center"/>
              <w:rPr>
                <w:b/>
                <w:sz w:val="26"/>
                <w:szCs w:val="26"/>
                <w:lang w:val="nl-NL"/>
              </w:rPr>
            </w:pPr>
            <w:r>
              <w:rPr>
                <w:sz w:val="26"/>
                <w:szCs w:val="26"/>
                <w:lang w:val="nl-NL"/>
              </w:rPr>
              <w:t>Số: 11/1998/CT-UB</w:t>
            </w:r>
          </w:p>
        </w:tc>
        <w:tc>
          <w:tcPr>
            <w:tcW w:w="6076" w:type="dxa"/>
            <w:hideMark/>
          </w:tcPr>
          <w:p w:rsidR="00D26F79" w:rsidRDefault="00D26F79">
            <w:pPr>
              <w:jc w:val="center"/>
              <w:rPr>
                <w:b/>
                <w:sz w:val="26"/>
                <w:szCs w:val="26"/>
                <w:lang w:val="nl-NL"/>
              </w:rPr>
            </w:pPr>
            <w:r>
              <w:rPr>
                <w:b/>
                <w:sz w:val="26"/>
                <w:szCs w:val="26"/>
                <w:lang w:val="nl-NL"/>
              </w:rPr>
              <w:t>CỘNG HÒA XÃ HỘI CHỦ NGHĨA VIỆT NAM</w:t>
            </w:r>
          </w:p>
          <w:p w:rsidR="00D26F79" w:rsidRDefault="00D26F79">
            <w:pPr>
              <w:tabs>
                <w:tab w:val="left" w:pos="4678"/>
              </w:tabs>
              <w:spacing w:after="240"/>
              <w:ind w:firstLine="454"/>
              <w:jc w:val="center"/>
              <w:rPr>
                <w:b/>
                <w:i/>
                <w:sz w:val="26"/>
                <w:szCs w:val="26"/>
                <w:u w:val="single"/>
                <w:lang w:val="nl-NL"/>
              </w:rPr>
            </w:pPr>
            <w:r>
              <w:rPr>
                <w:b/>
                <w:sz w:val="26"/>
                <w:szCs w:val="26"/>
                <w:u w:val="single"/>
                <w:lang w:val="nl-NL"/>
              </w:rPr>
              <w:t>Độc lập - Tự do - Hạnh phúc</w:t>
            </w:r>
          </w:p>
          <w:p w:rsidR="00D26F79" w:rsidRDefault="00D26F79">
            <w:pPr>
              <w:jc w:val="center"/>
              <w:rPr>
                <w:b/>
                <w:sz w:val="26"/>
                <w:szCs w:val="26"/>
                <w:lang w:val="nl-NL"/>
              </w:rPr>
            </w:pPr>
            <w:r>
              <w:rPr>
                <w:i/>
                <w:sz w:val="26"/>
                <w:szCs w:val="26"/>
                <w:lang w:val="nl-NL"/>
              </w:rPr>
              <w:t>Pleiku, ngày 01 tháng 4 năm 1998</w:t>
            </w:r>
          </w:p>
        </w:tc>
      </w:tr>
    </w:tbl>
    <w:p w:rsidR="00D26F79" w:rsidRDefault="00D26F79" w:rsidP="00D26F79">
      <w:pPr>
        <w:tabs>
          <w:tab w:val="left" w:pos="3828"/>
        </w:tabs>
        <w:ind w:firstLine="454"/>
        <w:jc w:val="center"/>
        <w:rPr>
          <w:sz w:val="26"/>
          <w:szCs w:val="26"/>
          <w:lang w:val="nl-NL"/>
        </w:rPr>
      </w:pPr>
    </w:p>
    <w:p w:rsidR="00D26F79" w:rsidRDefault="00D26F79" w:rsidP="00D26F79">
      <w:pPr>
        <w:spacing w:before="240"/>
        <w:jc w:val="center"/>
        <w:rPr>
          <w:b/>
          <w:sz w:val="28"/>
          <w:szCs w:val="28"/>
          <w:lang w:val="nl-NL"/>
        </w:rPr>
      </w:pPr>
      <w:r>
        <w:rPr>
          <w:b/>
          <w:sz w:val="28"/>
          <w:szCs w:val="28"/>
          <w:lang w:val="nl-NL"/>
        </w:rPr>
        <w:t>CHỈ THỊ</w:t>
      </w:r>
    </w:p>
    <w:p w:rsidR="00D26F79" w:rsidRDefault="00D26F79" w:rsidP="00D26F79">
      <w:pPr>
        <w:jc w:val="center"/>
        <w:rPr>
          <w:sz w:val="28"/>
          <w:szCs w:val="28"/>
          <w:lang w:val="nl-NL"/>
        </w:rPr>
      </w:pPr>
      <w:r>
        <w:rPr>
          <w:b/>
          <w:sz w:val="28"/>
          <w:szCs w:val="28"/>
          <w:lang w:val="nl-NL"/>
        </w:rPr>
        <w:t>CỦA ỦY BAN NHÂN DÂN TỈNH GIA LAI</w:t>
      </w:r>
    </w:p>
    <w:p w:rsidR="00D26F79" w:rsidRDefault="00D26F79" w:rsidP="00D26F79">
      <w:pPr>
        <w:jc w:val="center"/>
        <w:rPr>
          <w:b/>
          <w:sz w:val="28"/>
          <w:szCs w:val="28"/>
          <w:lang w:val="nl-NL"/>
        </w:rPr>
      </w:pPr>
      <w:r>
        <w:rPr>
          <w:b/>
          <w:sz w:val="28"/>
          <w:szCs w:val="28"/>
          <w:lang w:val="nl-NL"/>
        </w:rPr>
        <w:t>Về việc chăm sóc người cao tuổi</w:t>
      </w:r>
    </w:p>
    <w:p w:rsidR="00D26F79" w:rsidRDefault="00774493" w:rsidP="00D26F79">
      <w:pPr>
        <w:spacing w:after="360" w:line="120" w:lineRule="auto"/>
        <w:jc w:val="both"/>
        <w:rPr>
          <w:sz w:val="28"/>
          <w:szCs w:val="28"/>
          <w:lang w:val="nl-NL"/>
        </w:rPr>
      </w:pPr>
      <w:r w:rsidRPr="00774493">
        <w:pict>
          <v:line id="_x0000_s1040" style="position:absolute;left:0;text-align:left;z-index:251658240" from="180pt,4.9pt" to="324pt,4.9pt"/>
        </w:pict>
      </w:r>
      <w:r w:rsidR="00D26F79">
        <w:rPr>
          <w:color w:val="FFFFFF"/>
          <w:sz w:val="28"/>
          <w:szCs w:val="28"/>
          <w:lang w:val="nl-NL"/>
        </w:rPr>
        <w:t>..</w:t>
      </w:r>
    </w:p>
    <w:p w:rsidR="00D26F79" w:rsidRDefault="00D26F79" w:rsidP="00D26F79">
      <w:pPr>
        <w:spacing w:after="120" w:line="244" w:lineRule="auto"/>
        <w:ind w:firstLine="567"/>
        <w:jc w:val="both"/>
        <w:rPr>
          <w:sz w:val="28"/>
          <w:szCs w:val="28"/>
          <w:lang w:val="nl-NL"/>
        </w:rPr>
      </w:pPr>
      <w:r>
        <w:rPr>
          <w:sz w:val="28"/>
          <w:szCs w:val="28"/>
          <w:lang w:val="nl-NL"/>
        </w:rPr>
        <w:t>Người cao tuổi tỉnh ta có khoảng 60 nghìn người chiếm 10% dân số trong toàn tỉnh và ngày càng tăng, là lớp người có công sinh thành, nuôi dưỡng và giáo dục các thế hệ con cháu, giữ gìn phát triển giống nòi, bảo vệ và phát triển thuần phong, mỹ tục và truyền thống yêu nước của dân tộc. Một bộ phận đông đảo người cao tuổi đã cống hiến gắn trọn đời mình cho sự nghiệp giải phóng dân tộc, bảo vệ và xây dựng đất nước.</w:t>
      </w:r>
    </w:p>
    <w:p w:rsidR="00D26F79" w:rsidRDefault="00D26F79" w:rsidP="00D26F79">
      <w:pPr>
        <w:spacing w:after="120" w:line="244" w:lineRule="auto"/>
        <w:ind w:firstLine="567"/>
        <w:jc w:val="both"/>
        <w:rPr>
          <w:sz w:val="28"/>
          <w:szCs w:val="28"/>
          <w:lang w:val="nl-NL"/>
        </w:rPr>
      </w:pPr>
      <w:r>
        <w:rPr>
          <w:sz w:val="28"/>
          <w:szCs w:val="28"/>
          <w:lang w:val="nl-NL"/>
        </w:rPr>
        <w:t xml:space="preserve">Phát huy truyền thống tốt đẹp của nhân dân ta </w:t>
      </w:r>
      <w:r>
        <w:rPr>
          <w:i/>
          <w:sz w:val="28"/>
          <w:szCs w:val="28"/>
          <w:lang w:val="nl-NL"/>
        </w:rPr>
        <w:t>"Kính lão đắc thọ"</w:t>
      </w:r>
      <w:r>
        <w:rPr>
          <w:sz w:val="28"/>
          <w:szCs w:val="28"/>
          <w:lang w:val="nl-NL"/>
        </w:rPr>
        <w:t xml:space="preserve"> Đảng và Nhà nước ta coi việc quan tâm, chăm sóc đời sống vật chất và tinh thần người cao tuổi là đạo lý của dân tộc, là tình cảm và trách nhiệm của toàn Đảng, toàn dân.</w:t>
      </w:r>
    </w:p>
    <w:p w:rsidR="00D26F79" w:rsidRDefault="00D26F79" w:rsidP="00D26F79">
      <w:pPr>
        <w:spacing w:after="120" w:line="247" w:lineRule="auto"/>
        <w:ind w:firstLine="567"/>
        <w:jc w:val="both"/>
        <w:rPr>
          <w:sz w:val="28"/>
          <w:szCs w:val="28"/>
          <w:lang w:val="nl-NL"/>
        </w:rPr>
      </w:pPr>
      <w:r>
        <w:rPr>
          <w:sz w:val="28"/>
          <w:szCs w:val="28"/>
          <w:lang w:val="nl-NL"/>
        </w:rPr>
        <w:t>Theo Quyết định số 523 ngày 24-9-1994 của Thủ tướng Chính phủ, Hội Người cao tuổi chỉ thành lập 2 cấp, cấp Trung ương và cấp xã, phường, thị trấn. Do hệ thống tổ chức và đặc điểm riêng của Hội Người cao tuổi, hiện nay hoạt động của Hội đang gặp khó khăn về bộ máy chỉ đạo và điều kiện hoạt động. Tuy vậy với sự nỗ lực và cố gắng lớn, bước đầu Hội hoạt động có hiệu quả thu hút đông đảo hội viên người cao tuổi tham gia sinh hoạt, góp phần nâng cao chất lượng cuộc sống cho người cao tuổi.</w:t>
      </w:r>
    </w:p>
    <w:p w:rsidR="00D26F79" w:rsidRDefault="00D26F79" w:rsidP="00D26F79">
      <w:pPr>
        <w:spacing w:after="120" w:line="244" w:lineRule="auto"/>
        <w:ind w:firstLine="567"/>
        <w:jc w:val="both"/>
        <w:rPr>
          <w:sz w:val="28"/>
          <w:szCs w:val="28"/>
          <w:lang w:val="nl-NL"/>
        </w:rPr>
      </w:pPr>
      <w:r>
        <w:rPr>
          <w:sz w:val="28"/>
          <w:szCs w:val="28"/>
          <w:lang w:val="nl-NL"/>
        </w:rPr>
        <w:t>Để phát huy truyền thống của dân tộc, thực hiện chủ trương chính sách của Đảng và Chính phủ, để tỏ rõ trách nhiệm đối với người cao tuổi trong tỉnh, Ủy ban nhân dân tỉnh yêu cầu:</w:t>
      </w:r>
    </w:p>
    <w:p w:rsidR="00D26F79" w:rsidRDefault="00D26F79" w:rsidP="00D26F79">
      <w:pPr>
        <w:spacing w:after="120" w:line="244" w:lineRule="auto"/>
        <w:ind w:firstLine="567"/>
        <w:jc w:val="both"/>
        <w:rPr>
          <w:sz w:val="28"/>
          <w:szCs w:val="28"/>
          <w:lang w:val="nl-NL"/>
        </w:rPr>
      </w:pPr>
      <w:r>
        <w:rPr>
          <w:sz w:val="28"/>
          <w:szCs w:val="28"/>
          <w:lang w:val="nl-NL"/>
        </w:rPr>
        <w:t>1. Ủy ban nhân dân các huyện, thị xã có kế hoạch thực hiện, quan tâm tốt công tác chăm sóc người cao tuổi, đưa công tác này vào kế hoạch phát triển kinh tế - xã hội ngắn và dài hạn ở địa phương, trong chỉ tiêu xây dựng gia đình văn hóa, xây dựng cuộc sống mới ở khu dân cư...</w:t>
      </w:r>
    </w:p>
    <w:p w:rsidR="00D26F79" w:rsidRDefault="00D26F79" w:rsidP="00D26F79">
      <w:pPr>
        <w:spacing w:after="120"/>
        <w:ind w:firstLine="567"/>
        <w:jc w:val="both"/>
        <w:rPr>
          <w:sz w:val="28"/>
          <w:szCs w:val="28"/>
          <w:lang w:val="nl-NL"/>
        </w:rPr>
      </w:pPr>
      <w:r>
        <w:rPr>
          <w:sz w:val="28"/>
          <w:szCs w:val="28"/>
          <w:lang w:val="nl-NL"/>
        </w:rPr>
        <w:t>Chỉ đạo cơ quan văn hóa, thông tin tuyên truyền; huyện, thị có kế hoạch và nội dung phù hợp tuyên truyền trong nhân dân, nhất là thế hệ trẻ về ý thức, trách nhiệm và nghĩa vụ chăm sóc, giúp đỡ, kính trọng người cao tuổi. Giúp việc thành lập và đại hội người cao tuổi ở cơ sở sớm hoàn thành, chú ý các xã vùng xâu, vùng căn cứ cách mạng, vùng đồng bào dân tộc và đồng bào có đạo gặp nhiều khó khăn.</w:t>
      </w:r>
    </w:p>
    <w:p w:rsidR="00D26F79" w:rsidRDefault="00D26F79" w:rsidP="00D26F79">
      <w:pPr>
        <w:spacing w:after="120"/>
        <w:ind w:firstLine="567"/>
        <w:jc w:val="both"/>
        <w:rPr>
          <w:sz w:val="28"/>
          <w:szCs w:val="28"/>
          <w:lang w:val="nl-NL"/>
        </w:rPr>
      </w:pPr>
      <w:r>
        <w:rPr>
          <w:sz w:val="28"/>
          <w:szCs w:val="28"/>
          <w:lang w:val="nl-NL"/>
        </w:rPr>
        <w:lastRenderedPageBreak/>
        <w:t>2. Sở Lao động - TBXH phối hợp với Ủy ban Mặt trận TQVN tỉnh theo dõi, hướng dẫn Hội hoạt động theo đúng đường lối chính sách của Đảng, Pháp luật của Nhà nước. Định kỳ hàng năm có kế hoạch và đề xuất Ủy ban nhân dân tỉnh chỉ đạo thực hiện các chính sách đối với người cao tuổi.</w:t>
      </w:r>
    </w:p>
    <w:p w:rsidR="00D26F79" w:rsidRDefault="00D26F79" w:rsidP="00D26F79">
      <w:pPr>
        <w:spacing w:after="120"/>
        <w:ind w:firstLine="567"/>
        <w:jc w:val="both"/>
        <w:rPr>
          <w:sz w:val="28"/>
          <w:szCs w:val="28"/>
          <w:lang w:val="nl-NL"/>
        </w:rPr>
      </w:pPr>
      <w:r>
        <w:rPr>
          <w:sz w:val="28"/>
          <w:szCs w:val="28"/>
          <w:lang w:val="nl-NL"/>
        </w:rPr>
        <w:t>3. Sở Tài chính - Vật giá cân đối ngân sách và kế hoạch hướng dẫn tài chính cấp dưới tạo điều kiện hỗ trợ kinh phí theo tinh thần Chỉ thị 117 của Chính phủ cho Hội Người cao tuổi cơ sở.</w:t>
      </w:r>
    </w:p>
    <w:p w:rsidR="00D26F79" w:rsidRDefault="00D26F79" w:rsidP="00D26F79">
      <w:pPr>
        <w:spacing w:after="120"/>
        <w:ind w:firstLine="567"/>
        <w:jc w:val="both"/>
        <w:rPr>
          <w:sz w:val="28"/>
          <w:szCs w:val="28"/>
          <w:lang w:val="nl-NL"/>
        </w:rPr>
      </w:pPr>
      <w:r>
        <w:rPr>
          <w:sz w:val="28"/>
          <w:szCs w:val="28"/>
          <w:lang w:val="nl-NL"/>
        </w:rPr>
        <w:t>4. Sở Y tế, Sở Thể dục - Thể thao, Sở Văn hóa  - Thông tin, Sở Tư pháp, Sở Khoa học công nghệ môi trường, Sở Giáo dục - Đào tạo cần tạo điều kiện và phối hợp với các ban, ngành có liên quan tổ chức hướng dẫn, phổ biến những kiến thức cần thiết về bảo vệ rèn luyện thân thể, phòng chữa bệnh, tổ chức khám, chữa bệnh đối với người cao tuổi. Cung cấp thêm hệ thống thông tin, tạo điều kiện cho các cụ tham gia nghiên cứu các đề tài về môi sinh, môi trường và các hoạt động xã hội cộng đồng, động viên con cháu đến lớp, đến trường góp phần chống trẻ em mù chữ và thất học...</w:t>
      </w:r>
    </w:p>
    <w:p w:rsidR="00D26F79" w:rsidRDefault="00D26F79" w:rsidP="00D26F79">
      <w:pPr>
        <w:spacing w:after="120"/>
        <w:ind w:firstLine="567"/>
        <w:jc w:val="both"/>
        <w:rPr>
          <w:sz w:val="28"/>
          <w:szCs w:val="28"/>
          <w:lang w:val="nl-NL"/>
        </w:rPr>
      </w:pPr>
      <w:r>
        <w:rPr>
          <w:sz w:val="28"/>
          <w:szCs w:val="28"/>
          <w:lang w:val="nl-NL"/>
        </w:rPr>
        <w:t>5. Đề nghị Ủy ban Mặt trận TQVN tỉnh và các huyện, thị xã, các đoàn thể nhân dân phối hợp với các cấp chính quyền và Hội người cao tuổi trong việc vận động gia đình và xã hội quan tâm chăm sóc và phát huy vai trò người cao tuổi vì mục tiêu dân giàu, nước mạnh, xã hội công bằng văn minh.</w:t>
      </w:r>
    </w:p>
    <w:p w:rsidR="00D26F79" w:rsidRDefault="00D26F79" w:rsidP="00D26F79">
      <w:pPr>
        <w:spacing w:after="120"/>
        <w:ind w:firstLine="567"/>
        <w:jc w:val="both"/>
        <w:rPr>
          <w:sz w:val="28"/>
          <w:szCs w:val="28"/>
          <w:lang w:val="nl-NL"/>
        </w:rPr>
      </w:pPr>
      <w:r>
        <w:rPr>
          <w:sz w:val="28"/>
          <w:szCs w:val="28"/>
          <w:lang w:val="nl-NL"/>
        </w:rPr>
        <w:t>6. Ủy ban Nhân dân các huyện, thị xã, các sở, ban, ngành, đoàn thể quá trình triển khai và tổ chức thực hiện báo cáo về Ủy ban nhân dân tỉnh để theo dõi và có hướng chỉ đạo.</w:t>
      </w:r>
    </w:p>
    <w:p w:rsidR="00D26F79" w:rsidRDefault="00D26F79" w:rsidP="00D26F79">
      <w:pPr>
        <w:spacing w:before="120"/>
        <w:ind w:firstLine="454"/>
        <w:jc w:val="center"/>
        <w:rPr>
          <w:b/>
          <w:sz w:val="28"/>
          <w:szCs w:val="28"/>
          <w:lang w:val="nl-NL"/>
        </w:rPr>
      </w:pPr>
    </w:p>
    <w:p w:rsidR="00D26F79" w:rsidRDefault="00D26F79" w:rsidP="00D26F79">
      <w:pPr>
        <w:spacing w:before="120"/>
        <w:ind w:left="4536" w:firstLine="454"/>
        <w:jc w:val="center"/>
        <w:rPr>
          <w:b/>
          <w:sz w:val="28"/>
          <w:szCs w:val="28"/>
          <w:lang w:val="nl-NL"/>
        </w:rPr>
      </w:pPr>
      <w:r>
        <w:rPr>
          <w:b/>
          <w:sz w:val="28"/>
          <w:szCs w:val="28"/>
          <w:lang w:val="nl-NL"/>
        </w:rPr>
        <w:t>TM/ ỦY BAN NHÂN DÂN TỈNH</w:t>
      </w:r>
    </w:p>
    <w:p w:rsidR="00D26F79" w:rsidRDefault="00D26F79" w:rsidP="00D26F79">
      <w:pPr>
        <w:ind w:left="4536" w:firstLine="454"/>
        <w:jc w:val="center"/>
        <w:rPr>
          <w:b/>
          <w:sz w:val="28"/>
          <w:szCs w:val="28"/>
          <w:lang w:val="nl-NL"/>
        </w:rPr>
      </w:pPr>
      <w:r>
        <w:rPr>
          <w:b/>
          <w:sz w:val="28"/>
          <w:szCs w:val="28"/>
          <w:lang w:val="nl-NL"/>
        </w:rPr>
        <w:t>KT/ CHỦ TỊCH</w:t>
      </w:r>
    </w:p>
    <w:p w:rsidR="00D26F79" w:rsidRDefault="00D26F79" w:rsidP="00D26F79">
      <w:pPr>
        <w:ind w:left="4536" w:firstLine="454"/>
        <w:jc w:val="center"/>
        <w:rPr>
          <w:b/>
          <w:sz w:val="28"/>
          <w:szCs w:val="28"/>
          <w:lang w:val="nl-NL"/>
        </w:rPr>
      </w:pPr>
      <w:r>
        <w:rPr>
          <w:b/>
          <w:sz w:val="28"/>
          <w:szCs w:val="28"/>
          <w:lang w:val="nl-NL"/>
        </w:rPr>
        <w:t>PHÓ CHỦ TỊCH</w:t>
      </w:r>
    </w:p>
    <w:p w:rsidR="00D26F79" w:rsidRDefault="00D26F79" w:rsidP="00D26F79">
      <w:pPr>
        <w:ind w:left="4536" w:firstLine="454"/>
        <w:jc w:val="center"/>
        <w:rPr>
          <w:sz w:val="28"/>
          <w:szCs w:val="28"/>
          <w:lang w:val="nl-NL"/>
        </w:rPr>
      </w:pPr>
      <w:r>
        <w:rPr>
          <w:sz w:val="28"/>
          <w:szCs w:val="28"/>
          <w:lang w:val="nl-NL"/>
        </w:rPr>
        <w:t>Đã ký:</w:t>
      </w:r>
    </w:p>
    <w:p w:rsidR="00D26F79" w:rsidRDefault="00D26F79" w:rsidP="00D26F79">
      <w:pPr>
        <w:ind w:left="4536" w:firstLine="454"/>
        <w:jc w:val="center"/>
        <w:rPr>
          <w:b/>
          <w:sz w:val="28"/>
          <w:szCs w:val="28"/>
          <w:lang w:val="nl-NL"/>
        </w:rPr>
      </w:pPr>
      <w:r>
        <w:rPr>
          <w:b/>
          <w:sz w:val="28"/>
          <w:szCs w:val="28"/>
          <w:lang w:val="nl-NL"/>
        </w:rPr>
        <w:t>Đinh Klum</w:t>
      </w:r>
    </w:p>
    <w:p w:rsidR="00D26F79" w:rsidRDefault="00D26F79" w:rsidP="00D26F79">
      <w:pPr>
        <w:rPr>
          <w:sz w:val="28"/>
          <w:szCs w:val="28"/>
        </w:rPr>
      </w:pPr>
    </w:p>
    <w:p w:rsidR="00D26F79" w:rsidRDefault="00D26F79" w:rsidP="00D26F79">
      <w:pPr>
        <w:rPr>
          <w:sz w:val="28"/>
          <w:szCs w:val="28"/>
        </w:rPr>
      </w:pPr>
    </w:p>
    <w:p w:rsidR="00D26F79" w:rsidRDefault="00D26F79" w:rsidP="00D26F79">
      <w:pPr>
        <w:rPr>
          <w:sz w:val="28"/>
          <w:szCs w:val="28"/>
        </w:rPr>
      </w:pPr>
    </w:p>
    <w:p w:rsidR="00D26F79" w:rsidRDefault="00D26F79" w:rsidP="00D26F79">
      <w:pPr>
        <w:rPr>
          <w:sz w:val="28"/>
          <w:szCs w:val="28"/>
        </w:rPr>
      </w:pPr>
    </w:p>
    <w:p w:rsidR="00D26F79" w:rsidRDefault="00D26F79" w:rsidP="00D26F79">
      <w:pPr>
        <w:rPr>
          <w:sz w:val="28"/>
          <w:szCs w:val="28"/>
        </w:rPr>
      </w:pPr>
    </w:p>
    <w:p w:rsidR="00D26F79" w:rsidRDefault="00D26F79" w:rsidP="00D26F79">
      <w:pPr>
        <w:rPr>
          <w:sz w:val="28"/>
          <w:szCs w:val="28"/>
        </w:rPr>
      </w:pPr>
    </w:p>
    <w:p w:rsidR="00D26F79" w:rsidRDefault="00D26F79" w:rsidP="00D26F79">
      <w:pPr>
        <w:rPr>
          <w:sz w:val="28"/>
          <w:szCs w:val="28"/>
        </w:rPr>
      </w:pPr>
    </w:p>
    <w:p w:rsidR="00AD0625" w:rsidRPr="00D26F79" w:rsidRDefault="00AD0625" w:rsidP="00D26F79"/>
    <w:sectPr w:rsidR="00AD0625" w:rsidRPr="00D26F79" w:rsidSect="00AD06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WIN Sample Font">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23C7B"/>
    <w:rsid w:val="005B248C"/>
    <w:rsid w:val="006A4BF7"/>
    <w:rsid w:val="006F6231"/>
    <w:rsid w:val="00774493"/>
    <w:rsid w:val="007B2F15"/>
    <w:rsid w:val="008F3CDD"/>
    <w:rsid w:val="009A3827"/>
    <w:rsid w:val="00AD0625"/>
    <w:rsid w:val="00D26F79"/>
    <w:rsid w:val="00E23C7B"/>
    <w:rsid w:val="00E33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7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7B2F15"/>
    <w:pPr>
      <w:keepNext/>
      <w:spacing w:before="60" w:after="60"/>
      <w:jc w:val="center"/>
      <w:outlineLvl w:val="5"/>
    </w:pPr>
    <w:rPr>
      <w:rFonts w:ascii="VNtimes new roman" w:hAnsi="VN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23C7B"/>
    <w:pPr>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rsid w:val="00E23C7B"/>
    <w:rPr>
      <w:rFonts w:ascii=".VnTime" w:eastAsia="Times New Roman" w:hAnsi=".VnTime" w:cs="Times New Roman"/>
      <w:sz w:val="28"/>
      <w:szCs w:val="20"/>
    </w:rPr>
  </w:style>
  <w:style w:type="paragraph" w:styleId="BodyTextIndent2">
    <w:name w:val="Body Text Indent 2"/>
    <w:basedOn w:val="Normal"/>
    <w:link w:val="BodyTextIndent2Char"/>
    <w:semiHidden/>
    <w:unhideWhenUsed/>
    <w:rsid w:val="00E23C7B"/>
    <w:pPr>
      <w:widowControl w:val="0"/>
      <w:overflowPunct w:val="0"/>
      <w:autoSpaceDE w:val="0"/>
      <w:autoSpaceDN w:val="0"/>
      <w:adjustRightInd w:val="0"/>
      <w:spacing w:after="120" w:line="480" w:lineRule="auto"/>
      <w:ind w:left="360"/>
    </w:pPr>
    <w:rPr>
      <w:rFonts w:ascii="VNI-WIN Sample Font" w:hAnsi="VNI-WIN Sample Font"/>
      <w:sz w:val="40"/>
      <w:szCs w:val="20"/>
    </w:rPr>
  </w:style>
  <w:style w:type="character" w:customStyle="1" w:styleId="BodyTextIndent2Char">
    <w:name w:val="Body Text Indent 2 Char"/>
    <w:basedOn w:val="DefaultParagraphFont"/>
    <w:link w:val="BodyTextIndent2"/>
    <w:semiHidden/>
    <w:rsid w:val="00E23C7B"/>
    <w:rPr>
      <w:rFonts w:ascii="VNI-WIN Sample Font" w:eastAsia="Times New Roman" w:hAnsi="VNI-WIN Sample Font" w:cs="Times New Roman"/>
      <w:sz w:val="40"/>
      <w:szCs w:val="20"/>
    </w:rPr>
  </w:style>
  <w:style w:type="character" w:customStyle="1" w:styleId="Heading6Char">
    <w:name w:val="Heading 6 Char"/>
    <w:basedOn w:val="DefaultParagraphFont"/>
    <w:link w:val="Heading6"/>
    <w:semiHidden/>
    <w:rsid w:val="007B2F15"/>
    <w:rPr>
      <w:rFonts w:ascii="VNtimes new roman" w:eastAsia="Times New Roman" w:hAnsi="VN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divs>
    <w:div w:id="818769965">
      <w:bodyDiv w:val="1"/>
      <w:marLeft w:val="0"/>
      <w:marRight w:val="0"/>
      <w:marTop w:val="0"/>
      <w:marBottom w:val="0"/>
      <w:divBdr>
        <w:top w:val="none" w:sz="0" w:space="0" w:color="auto"/>
        <w:left w:val="none" w:sz="0" w:space="0" w:color="auto"/>
        <w:bottom w:val="none" w:sz="0" w:space="0" w:color="auto"/>
        <w:right w:val="none" w:sz="0" w:space="0" w:color="auto"/>
      </w:divBdr>
    </w:div>
    <w:div w:id="860438413">
      <w:bodyDiv w:val="1"/>
      <w:marLeft w:val="0"/>
      <w:marRight w:val="0"/>
      <w:marTop w:val="0"/>
      <w:marBottom w:val="0"/>
      <w:divBdr>
        <w:top w:val="none" w:sz="0" w:space="0" w:color="auto"/>
        <w:left w:val="none" w:sz="0" w:space="0" w:color="auto"/>
        <w:bottom w:val="none" w:sz="0" w:space="0" w:color="auto"/>
        <w:right w:val="none" w:sz="0" w:space="0" w:color="auto"/>
      </w:divBdr>
    </w:div>
    <w:div w:id="994728187">
      <w:bodyDiv w:val="1"/>
      <w:marLeft w:val="0"/>
      <w:marRight w:val="0"/>
      <w:marTop w:val="0"/>
      <w:marBottom w:val="0"/>
      <w:divBdr>
        <w:top w:val="none" w:sz="0" w:space="0" w:color="auto"/>
        <w:left w:val="none" w:sz="0" w:space="0" w:color="auto"/>
        <w:bottom w:val="none" w:sz="0" w:space="0" w:color="auto"/>
        <w:right w:val="none" w:sz="0" w:space="0" w:color="auto"/>
      </w:divBdr>
    </w:div>
    <w:div w:id="1922791961">
      <w:bodyDiv w:val="1"/>
      <w:marLeft w:val="0"/>
      <w:marRight w:val="0"/>
      <w:marTop w:val="0"/>
      <w:marBottom w:val="0"/>
      <w:divBdr>
        <w:top w:val="none" w:sz="0" w:space="0" w:color="auto"/>
        <w:left w:val="none" w:sz="0" w:space="0" w:color="auto"/>
        <w:bottom w:val="none" w:sz="0" w:space="0" w:color="auto"/>
        <w:right w:val="none" w:sz="0" w:space="0" w:color="auto"/>
      </w:divBdr>
    </w:div>
    <w:div w:id="1973704640">
      <w:bodyDiv w:val="1"/>
      <w:marLeft w:val="0"/>
      <w:marRight w:val="0"/>
      <w:marTop w:val="0"/>
      <w:marBottom w:val="0"/>
      <w:divBdr>
        <w:top w:val="none" w:sz="0" w:space="0" w:color="auto"/>
        <w:left w:val="none" w:sz="0" w:space="0" w:color="auto"/>
        <w:bottom w:val="none" w:sz="0" w:space="0" w:color="auto"/>
        <w:right w:val="none" w:sz="0" w:space="0" w:color="auto"/>
      </w:divBdr>
    </w:div>
    <w:div w:id="21297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A96E3-9C28-42B3-9CFB-4019F51992FE}"/>
</file>

<file path=customXml/itemProps2.xml><?xml version="1.0" encoding="utf-8"?>
<ds:datastoreItem xmlns:ds="http://schemas.openxmlformats.org/officeDocument/2006/customXml" ds:itemID="{6D75C7E4-46B7-413B-BC44-53FCE1547E5D}"/>
</file>

<file path=customXml/itemProps3.xml><?xml version="1.0" encoding="utf-8"?>
<ds:datastoreItem xmlns:ds="http://schemas.openxmlformats.org/officeDocument/2006/customXml" ds:itemID="{793C2306-D6E2-4A4A-ABD9-DDEDE315CBC6}"/>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hp</cp:lastModifiedBy>
  <cp:revision>2</cp:revision>
  <dcterms:created xsi:type="dcterms:W3CDTF">2019-01-22T00:20:00Z</dcterms:created>
  <dcterms:modified xsi:type="dcterms:W3CDTF">2019-01-22T00:20:00Z</dcterms:modified>
</cp:coreProperties>
</file>