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8" w:type="dxa"/>
        <w:jc w:val="center"/>
        <w:tblCellMar>
          <w:left w:w="0" w:type="dxa"/>
          <w:right w:w="0" w:type="dxa"/>
        </w:tblCellMar>
        <w:tblLook w:val="01E0"/>
      </w:tblPr>
      <w:tblGrid>
        <w:gridCol w:w="2614"/>
        <w:gridCol w:w="6324"/>
      </w:tblGrid>
      <w:tr w:rsidR="000F3541" w:rsidRPr="00A9370B" w:rsidTr="000D3048">
        <w:trPr>
          <w:jc w:val="center"/>
        </w:trPr>
        <w:tc>
          <w:tcPr>
            <w:tcW w:w="2614" w:type="dxa"/>
          </w:tcPr>
          <w:p w:rsidR="000F3541" w:rsidRPr="00A9370B" w:rsidRDefault="000F3541" w:rsidP="000D3048">
            <w:pPr>
              <w:widowControl w:val="0"/>
              <w:spacing w:line="276" w:lineRule="auto"/>
              <w:jc w:val="center"/>
              <w:rPr>
                <w:rFonts w:ascii="Times New Roman" w:hAnsi="Times New Roman"/>
                <w:b/>
                <w:spacing w:val="-4"/>
                <w:lang w:val="nl-NL"/>
              </w:rPr>
            </w:pPr>
            <w:r w:rsidRPr="00A9370B">
              <w:rPr>
                <w:rFonts w:ascii="Times New Roman" w:hAnsi="Times New Roman"/>
                <w:b/>
                <w:noProof/>
                <w:spacing w:val="-4"/>
                <w:sz w:val="28"/>
                <w:szCs w:val="28"/>
                <w:lang w:val="nl-NL"/>
              </w:rPr>
              <w:t>ỦY</w:t>
            </w:r>
            <w:r w:rsidRPr="00A9370B">
              <w:rPr>
                <w:rFonts w:ascii="Times New Roman" w:hAnsi="Times New Roman"/>
                <w:b/>
                <w:spacing w:val="-4"/>
                <w:sz w:val="28"/>
                <w:szCs w:val="28"/>
                <w:lang w:val="nl-NL"/>
              </w:rPr>
              <w:t xml:space="preserve"> BAN NHÂN DÂN</w:t>
            </w:r>
            <w:r w:rsidRPr="00A9370B">
              <w:rPr>
                <w:rFonts w:ascii="Times New Roman" w:hAnsi="Times New Roman"/>
                <w:b/>
                <w:spacing w:val="-4"/>
                <w:sz w:val="28"/>
                <w:szCs w:val="28"/>
                <w:lang w:val="nl-NL"/>
              </w:rPr>
              <w:br/>
              <w:t>TỈNH GIA LAI</w:t>
            </w:r>
          </w:p>
          <w:p w:rsidR="000F3541" w:rsidRPr="00A9370B" w:rsidRDefault="000F3541" w:rsidP="000D3048">
            <w:pPr>
              <w:widowControl w:val="0"/>
              <w:spacing w:after="80" w:line="276" w:lineRule="auto"/>
              <w:jc w:val="center"/>
              <w:rPr>
                <w:rFonts w:ascii="Times New Roman" w:hAnsi="Times New Roman"/>
                <w:b/>
                <w:spacing w:val="-4"/>
                <w:lang w:val="nl-NL"/>
              </w:rPr>
            </w:pPr>
            <w:r w:rsidRPr="00A9370B">
              <w:rPr>
                <w:rFonts w:ascii="Times New Roman" w:hAnsi="Times New Roman"/>
                <w:strike/>
                <w:sz w:val="28"/>
                <w:szCs w:val="28"/>
                <w:lang w:val="nl-NL"/>
              </w:rPr>
              <w:t xml:space="preserve">.              . </w:t>
            </w:r>
          </w:p>
          <w:p w:rsidR="000F3541" w:rsidRPr="00A9370B" w:rsidRDefault="000F3541" w:rsidP="000D3048">
            <w:pPr>
              <w:widowControl w:val="0"/>
              <w:spacing w:line="276" w:lineRule="auto"/>
              <w:jc w:val="center"/>
              <w:rPr>
                <w:rFonts w:ascii="Times New Roman" w:hAnsi="Times New Roman"/>
                <w:spacing w:val="-4"/>
                <w:lang w:val="nl-NL"/>
              </w:rPr>
            </w:pPr>
            <w:r w:rsidRPr="00A9370B">
              <w:rPr>
                <w:rFonts w:ascii="Times New Roman" w:hAnsi="Times New Roman"/>
                <w:spacing w:val="-4"/>
                <w:sz w:val="28"/>
                <w:szCs w:val="28"/>
                <w:lang w:val="nl-NL"/>
              </w:rPr>
              <w:t>Số: 695/19</w:t>
            </w:r>
            <w:bookmarkStart w:id="0" w:name="b20"/>
            <w:bookmarkEnd w:id="0"/>
            <w:r w:rsidRPr="00A9370B">
              <w:rPr>
                <w:rFonts w:ascii="Times New Roman" w:hAnsi="Times New Roman"/>
                <w:spacing w:val="-4"/>
                <w:sz w:val="28"/>
                <w:szCs w:val="28"/>
                <w:lang w:val="nl-NL"/>
              </w:rPr>
              <w:t>98/QĐ-UB</w:t>
            </w:r>
          </w:p>
        </w:tc>
        <w:tc>
          <w:tcPr>
            <w:tcW w:w="6324" w:type="dxa"/>
          </w:tcPr>
          <w:p w:rsidR="000F3541" w:rsidRPr="00A9370B" w:rsidRDefault="000F3541" w:rsidP="000D3048">
            <w:pPr>
              <w:widowControl w:val="0"/>
              <w:spacing w:line="276" w:lineRule="auto"/>
              <w:jc w:val="center"/>
              <w:rPr>
                <w:rFonts w:ascii="Times New Roman" w:hAnsi="Times New Roman"/>
                <w:b/>
                <w:spacing w:val="-4"/>
                <w:sz w:val="26"/>
                <w:szCs w:val="26"/>
                <w:lang w:val="nl-NL"/>
              </w:rPr>
            </w:pPr>
            <w:r w:rsidRPr="00A9370B">
              <w:rPr>
                <w:rFonts w:ascii="Times New Roman" w:hAnsi="Times New Roman"/>
                <w:b/>
                <w:spacing w:val="-4"/>
                <w:sz w:val="26"/>
                <w:szCs w:val="26"/>
                <w:lang w:val="nl-NL"/>
              </w:rPr>
              <w:t>CỘNG HÒA XÃ HỘI CHỦ NGHĨA VIỆT NAM</w:t>
            </w:r>
          </w:p>
          <w:p w:rsidR="000F3541" w:rsidRPr="00A9370B" w:rsidRDefault="000F3541" w:rsidP="000D3048">
            <w:pPr>
              <w:widowControl w:val="0"/>
              <w:spacing w:after="240" w:line="276" w:lineRule="auto"/>
              <w:jc w:val="center"/>
              <w:rPr>
                <w:rFonts w:ascii="Times New Roman" w:hAnsi="Times New Roman"/>
                <w:spacing w:val="-4"/>
                <w:u w:val="single"/>
                <w:lang w:val="nl-NL"/>
              </w:rPr>
            </w:pPr>
            <w:r w:rsidRPr="00A9370B">
              <w:rPr>
                <w:rFonts w:ascii="Times New Roman" w:hAnsi="Times New Roman"/>
                <w:b/>
                <w:noProof/>
                <w:spacing w:val="-4"/>
                <w:sz w:val="28"/>
                <w:szCs w:val="28"/>
                <w:u w:val="single"/>
                <w:lang w:val="nl-NL"/>
              </w:rPr>
              <w:t>Độc</w:t>
            </w:r>
            <w:r w:rsidRPr="00A9370B">
              <w:rPr>
                <w:rFonts w:ascii="Times New Roman" w:hAnsi="Times New Roman"/>
                <w:b/>
                <w:spacing w:val="-4"/>
                <w:sz w:val="28"/>
                <w:szCs w:val="28"/>
                <w:u w:val="single"/>
                <w:lang w:val="nl-NL"/>
              </w:rPr>
              <w:t xml:space="preserve"> lập - Tự do - Hạnh phúc</w:t>
            </w:r>
          </w:p>
          <w:p w:rsidR="000F3541" w:rsidRPr="00A9370B" w:rsidRDefault="000F3541" w:rsidP="000D3048">
            <w:pPr>
              <w:widowControl w:val="0"/>
              <w:spacing w:line="276" w:lineRule="auto"/>
              <w:jc w:val="center"/>
              <w:rPr>
                <w:rFonts w:ascii="Times New Roman" w:hAnsi="Times New Roman"/>
                <w:i/>
                <w:spacing w:val="-4"/>
                <w:lang w:val="nl-NL"/>
              </w:rPr>
            </w:pPr>
            <w:r w:rsidRPr="00A9370B">
              <w:rPr>
                <w:rFonts w:ascii="Times New Roman" w:hAnsi="Times New Roman"/>
                <w:i/>
                <w:spacing w:val="-4"/>
                <w:sz w:val="28"/>
                <w:szCs w:val="28"/>
                <w:lang w:val="nl-NL"/>
              </w:rPr>
              <w:t xml:space="preserve">     Pleiku, ngày 02 tháng 7 năm 1998</w:t>
            </w:r>
          </w:p>
        </w:tc>
      </w:tr>
    </w:tbl>
    <w:p w:rsidR="000F3541" w:rsidRPr="00A9370B" w:rsidRDefault="000F3541" w:rsidP="000F3541">
      <w:pPr>
        <w:widowControl w:val="0"/>
        <w:spacing w:after="40" w:line="276" w:lineRule="auto"/>
        <w:ind w:firstLine="454"/>
        <w:jc w:val="both"/>
        <w:rPr>
          <w:rFonts w:ascii="Times New Roman" w:hAnsi="Times New Roman"/>
          <w:b/>
          <w:spacing w:val="-4"/>
          <w:sz w:val="28"/>
          <w:szCs w:val="28"/>
          <w:lang w:val="nl-NL"/>
        </w:rPr>
      </w:pPr>
    </w:p>
    <w:p w:rsidR="000F3541" w:rsidRPr="00A9370B" w:rsidRDefault="000F3541" w:rsidP="000F3541">
      <w:pPr>
        <w:widowControl w:val="0"/>
        <w:spacing w:after="40" w:line="276" w:lineRule="auto"/>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QUYẾT ĐỊNH</w:t>
      </w:r>
    </w:p>
    <w:p w:rsidR="000F3541" w:rsidRPr="00A9370B" w:rsidRDefault="000F3541" w:rsidP="000F3541">
      <w:pPr>
        <w:widowControl w:val="0"/>
        <w:spacing w:after="40" w:line="276" w:lineRule="auto"/>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CỦA ỦY BAN NHÂN DÂN TỈNH GIA LAI</w:t>
      </w:r>
    </w:p>
    <w:p w:rsidR="000F3541" w:rsidRDefault="000F3541" w:rsidP="000F3541">
      <w:pPr>
        <w:widowControl w:val="0"/>
        <w:tabs>
          <w:tab w:val="left" w:pos="5010"/>
        </w:tabs>
        <w:spacing w:after="40" w:line="276" w:lineRule="auto"/>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Về việc bổ sung chế độ phụ cấp đặc thù nghề đặc biệt đối với</w:t>
      </w:r>
      <w:r w:rsidRPr="00A9370B">
        <w:rPr>
          <w:rFonts w:ascii="Times New Roman" w:hAnsi="Times New Roman"/>
          <w:b/>
          <w:spacing w:val="-4"/>
          <w:sz w:val="28"/>
          <w:szCs w:val="28"/>
          <w:lang w:val="nl-NL"/>
        </w:rPr>
        <w:br/>
        <w:t>công chức, viên chức ngành Y tế tỉnh</w:t>
      </w:r>
    </w:p>
    <w:p w:rsidR="00C01D0B" w:rsidRPr="00C01D0B" w:rsidRDefault="00C01D0B" w:rsidP="00C01D0B">
      <w:pPr>
        <w:widowControl w:val="0"/>
        <w:tabs>
          <w:tab w:val="left" w:pos="5010"/>
        </w:tabs>
        <w:spacing w:after="40" w:line="276" w:lineRule="auto"/>
        <w:jc w:val="center"/>
        <w:rPr>
          <w:rFonts w:ascii="Times New Roman" w:hAnsi="Times New Roman"/>
          <w:b/>
          <w:spacing w:val="-4"/>
          <w:sz w:val="28"/>
          <w:szCs w:val="28"/>
          <w:lang w:val="nl-NL"/>
        </w:rPr>
      </w:pPr>
      <w:r>
        <w:rPr>
          <w:rFonts w:ascii="Times New Roman" w:hAnsi="Times New Roman"/>
          <w:b/>
          <w:spacing w:val="-4"/>
          <w:sz w:val="28"/>
          <w:szCs w:val="28"/>
          <w:lang w:val="nl-NL"/>
        </w:rPr>
        <w:t>______________________________</w:t>
      </w:r>
    </w:p>
    <w:p w:rsidR="000F3541" w:rsidRPr="00A9370B" w:rsidRDefault="000F3541" w:rsidP="000F3541">
      <w:pPr>
        <w:widowControl w:val="0"/>
        <w:tabs>
          <w:tab w:val="left" w:pos="5010"/>
        </w:tabs>
        <w:spacing w:before="240" w:after="240" w:line="276" w:lineRule="auto"/>
        <w:ind w:firstLine="454"/>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ỦY BAN NHÂN DÂN TỈNH GIA LAI</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xml:space="preserve">- Căn cứ Luật Tổ chức HĐND và UBND ngày 21-6-1994; </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Căn cứ Quyết định số 924/TTg ngày 13-12-1996 của Thủ tướng Chính phủ về bổ sung chế độ phụ cấp đặc thù nghề đặc biệt đối với công chức, viên chức ngành Y tế Thông tư số 363/TT-LT ngày 7-08-1997 liên tịch Ban TCCB Chính phủ - Bộ Tài chính Bộ Y tế về việc hướng dẫn thực hiện Quyết định số 924/TTg ngày 13-12-1996 của Thủ tướng Chính phủ;</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Theo đề nghị liên sở Ban TCCQ tỉnh, Sở Y tế, Sở Tài chính - Vật giá,</w:t>
      </w:r>
    </w:p>
    <w:p w:rsidR="000F3541" w:rsidRPr="00A9370B" w:rsidRDefault="000F3541" w:rsidP="000F3541">
      <w:pPr>
        <w:widowControl w:val="0"/>
        <w:tabs>
          <w:tab w:val="left" w:pos="5010"/>
        </w:tabs>
        <w:spacing w:before="400" w:after="240" w:line="276" w:lineRule="auto"/>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QUYẾT ĐỊNH</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1: </w:t>
      </w:r>
      <w:r w:rsidRPr="00A9370B">
        <w:rPr>
          <w:rFonts w:ascii="Times New Roman" w:hAnsi="Times New Roman"/>
          <w:spacing w:val="-4"/>
          <w:sz w:val="28"/>
          <w:szCs w:val="28"/>
          <w:lang w:val="nl-NL"/>
        </w:rPr>
        <w:t>Đồng ý chongành Y tế tỉnh bao gồm; các đơn vị trực thuộc Sở Y tế, các Trung tâm y tế huyện, thị xã, y tế cơ sở thực hiện Quyết định số 924/TTg ngày 13-12-1996 về bổ sung chế độ phụ cấp đặc thù nghề đặc biệt đối với công chức, viên chức ngành Y tế thuộc biên chế Nhà nước (kể cả hợp đồng trong chỉ tiêu biên chế) kể từ ngày 01-01-1998.</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Đối tượng được hưởng và mức phụ cấp, nguồn kinh phí và hình thức chi trả: Thực hiện đúng theo quy định tại phần I, phần II Thông tư số 363/TT-LT ngày 07-08-1997 liên tịch Ban TCCB Chính phủ - Bộ Tài chính - Bộ Y tế.</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2: </w:t>
      </w:r>
      <w:r w:rsidRPr="00A9370B">
        <w:rPr>
          <w:rFonts w:ascii="Times New Roman" w:hAnsi="Times New Roman"/>
          <w:spacing w:val="-4"/>
          <w:sz w:val="28"/>
          <w:szCs w:val="28"/>
          <w:lang w:val="nl-NL"/>
        </w:rPr>
        <w:t>Thủ trưởng các cơ sở y tế bao gồm (các đơn vị trực thuộc sở, các trung tâm y tế huyện, thị xã, các Trạm y tế xã, phường) chịu trách nhiệm quản lý, điều chỉnh thực hiện từng tháng đúng theo qui định tại điểm 1 và 2, phần I của Thông tư số 363/TT-LT ngày 07-08-1997 liên tịch; Ban TCCB Chính phủ - Bộ Tài chính - Bộ Y tế.</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xml:space="preserve">Ban TCCQ tỉnh, Sở  Y tế, Sở Tài chính - Vật giá, UBND huyện, thị xã định kỳ phối hợp kiểm tra việc thực hiện chế độ phụ cấp đặc thù nghề đặc biệt đối với công chức, viên chức ngành Y tế tỉnh. </w:t>
      </w:r>
    </w:p>
    <w:p w:rsidR="000F3541" w:rsidRPr="00A9370B" w:rsidRDefault="000F3541" w:rsidP="000F3541">
      <w:pPr>
        <w:widowControl w:val="0"/>
        <w:tabs>
          <w:tab w:val="left" w:pos="5010"/>
        </w:tabs>
        <w:spacing w:after="120" w:line="276" w:lineRule="auto"/>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lastRenderedPageBreak/>
        <w:t xml:space="preserve">Điều 3: </w:t>
      </w:r>
      <w:r w:rsidRPr="00A9370B">
        <w:rPr>
          <w:rFonts w:ascii="Times New Roman" w:hAnsi="Times New Roman"/>
          <w:spacing w:val="-4"/>
          <w:sz w:val="28"/>
          <w:szCs w:val="28"/>
          <w:lang w:val="nl-NL"/>
        </w:rPr>
        <w:t>Các ông: Chánh Văn phòng UBND tỉnh, Trưởng ban TCCQ tỉnh, Giám đốc Sở Y tế, Giám đốc Sở Tài chính - Vật giá, Giám đốc Sở Lao động TBXH, Chủ tịch UBND huyện, thị xã, Thủ trưởng các đơn vị có liên quan chịu trách nhiệm thi hành quyết định này.</w:t>
      </w:r>
    </w:p>
    <w:p w:rsidR="000F3541" w:rsidRPr="00A9370B" w:rsidRDefault="000F3541" w:rsidP="00C01D0B">
      <w:pPr>
        <w:widowControl w:val="0"/>
        <w:tabs>
          <w:tab w:val="left" w:pos="5010"/>
        </w:tabs>
        <w:spacing w:line="276" w:lineRule="auto"/>
        <w:ind w:firstLine="454"/>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TM/ ỦY BAN NHÂN DÂN TỈNH</w:t>
      </w:r>
    </w:p>
    <w:p w:rsidR="000F3541" w:rsidRPr="00A9370B" w:rsidRDefault="000F3541" w:rsidP="00C01D0B">
      <w:pPr>
        <w:widowControl w:val="0"/>
        <w:tabs>
          <w:tab w:val="left" w:pos="5010"/>
        </w:tabs>
        <w:spacing w:line="276" w:lineRule="auto"/>
        <w:ind w:firstLine="454"/>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CHỦ TỊCH</w:t>
      </w:r>
    </w:p>
    <w:p w:rsidR="000F3541" w:rsidRPr="00A9370B" w:rsidRDefault="000F3541" w:rsidP="00C01D0B">
      <w:pPr>
        <w:widowControl w:val="0"/>
        <w:tabs>
          <w:tab w:val="left" w:pos="5010"/>
        </w:tabs>
        <w:spacing w:line="276" w:lineRule="auto"/>
        <w:ind w:firstLine="454"/>
        <w:jc w:val="center"/>
        <w:rPr>
          <w:rFonts w:ascii="Times New Roman" w:hAnsi="Times New Roman"/>
          <w:spacing w:val="-4"/>
          <w:sz w:val="28"/>
          <w:szCs w:val="28"/>
          <w:lang w:val="nl-NL"/>
        </w:rPr>
      </w:pPr>
      <w:r w:rsidRPr="00A9370B">
        <w:rPr>
          <w:rFonts w:ascii="Times New Roman" w:hAnsi="Times New Roman"/>
          <w:spacing w:val="-4"/>
          <w:sz w:val="28"/>
          <w:szCs w:val="28"/>
          <w:lang w:val="nl-NL"/>
        </w:rPr>
        <w:t>Đã ký:</w:t>
      </w:r>
    </w:p>
    <w:p w:rsidR="000F3541" w:rsidRPr="00A9370B" w:rsidRDefault="000F3541" w:rsidP="00C01D0B">
      <w:pPr>
        <w:widowControl w:val="0"/>
        <w:tabs>
          <w:tab w:val="left" w:pos="5010"/>
        </w:tabs>
        <w:spacing w:after="60" w:line="276" w:lineRule="auto"/>
        <w:ind w:firstLine="454"/>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Đào Quang Phổ</w:t>
      </w:r>
    </w:p>
    <w:p w:rsidR="000B3F61" w:rsidRDefault="00C01D0B">
      <w:bookmarkStart w:id="1" w:name="_GoBack"/>
      <w:bookmarkEnd w:id="1"/>
    </w:p>
    <w:sectPr w:rsidR="000B3F61" w:rsidSect="000F3541">
      <w:pgSz w:w="11909" w:h="16834" w:code="9"/>
      <w:pgMar w:top="907" w:right="907" w:bottom="907"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F3541"/>
    <w:rsid w:val="000F3541"/>
    <w:rsid w:val="00237550"/>
    <w:rsid w:val="002F4561"/>
    <w:rsid w:val="0058752E"/>
    <w:rsid w:val="007A61F2"/>
    <w:rsid w:val="0081469B"/>
    <w:rsid w:val="00BD4CE5"/>
    <w:rsid w:val="00C01D0B"/>
    <w:rsid w:val="00E13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41"/>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7FE1E-635D-4EB0-98EC-61A9B314D34D}"/>
</file>

<file path=customXml/itemProps2.xml><?xml version="1.0" encoding="utf-8"?>
<ds:datastoreItem xmlns:ds="http://schemas.openxmlformats.org/officeDocument/2006/customXml" ds:itemID="{624B3B27-D70A-4F5F-863D-C49031D31BE2}"/>
</file>

<file path=customXml/itemProps3.xml><?xml version="1.0" encoding="utf-8"?>
<ds:datastoreItem xmlns:ds="http://schemas.openxmlformats.org/officeDocument/2006/customXml" ds:itemID="{C4C4F3DD-D572-4D80-9A38-02C3192D3682}"/>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3</cp:revision>
  <dcterms:created xsi:type="dcterms:W3CDTF">2019-01-22T02:17:00Z</dcterms:created>
  <dcterms:modified xsi:type="dcterms:W3CDTF">2019-01-22T02:18:00Z</dcterms:modified>
</cp:coreProperties>
</file>