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8" w:type="dxa"/>
        <w:tblLook w:val="04A0" w:firstRow="1" w:lastRow="0" w:firstColumn="1" w:lastColumn="0" w:noHBand="0" w:noVBand="1"/>
      </w:tblPr>
      <w:tblGrid>
        <w:gridCol w:w="3534"/>
        <w:gridCol w:w="5924"/>
      </w:tblGrid>
      <w:tr w:rsidR="0068708E" w:rsidRPr="00150CCE" w:rsidTr="0068708E">
        <w:trPr>
          <w:trHeight w:val="1127"/>
        </w:trPr>
        <w:tc>
          <w:tcPr>
            <w:tcW w:w="3534" w:type="dxa"/>
          </w:tcPr>
          <w:p w:rsidR="0068708E" w:rsidRPr="00540D95" w:rsidRDefault="0068708E" w:rsidP="00816082">
            <w:pPr>
              <w:jc w:val="center"/>
              <w:rPr>
                <w:b/>
                <w:sz w:val="26"/>
                <w:szCs w:val="26"/>
              </w:rPr>
            </w:pPr>
            <w:r w:rsidRPr="00540D95">
              <w:rPr>
                <w:b/>
                <w:sz w:val="26"/>
                <w:szCs w:val="26"/>
              </w:rPr>
              <w:t>HỘI ĐỒNG NHÂN DÂN</w:t>
            </w:r>
          </w:p>
          <w:p w:rsidR="0068708E" w:rsidRPr="00150CCE" w:rsidRDefault="0068708E" w:rsidP="00816082">
            <w:pPr>
              <w:jc w:val="center"/>
              <w:rPr>
                <w:b/>
                <w:sz w:val="28"/>
                <w:szCs w:val="28"/>
              </w:rPr>
            </w:pPr>
            <w:r w:rsidRPr="00540D95">
              <w:rPr>
                <w:b/>
                <w:sz w:val="26"/>
                <w:szCs w:val="26"/>
              </w:rPr>
              <w:t>TỈNH AN GIANG</w:t>
            </w:r>
          </w:p>
          <w:p w:rsidR="0068708E" w:rsidRPr="00150CCE" w:rsidRDefault="0068708E" w:rsidP="00816082">
            <w:pPr>
              <w:jc w:val="center"/>
              <w:rPr>
                <w:sz w:val="28"/>
                <w:szCs w:val="28"/>
              </w:rPr>
            </w:pPr>
            <w:r w:rsidRPr="00150CCE">
              <w:rPr>
                <w:rFonts w:ascii="Calibri" w:eastAsia="Calibri" w:hAnsi="Calibri"/>
                <w:noProof/>
                <w:sz w:val="22"/>
                <w:szCs w:val="22"/>
              </w:rPr>
              <mc:AlternateContent>
                <mc:Choice Requires="wps">
                  <w:drawing>
                    <wp:anchor distT="4294967295" distB="4294967295" distL="114300" distR="114300" simplePos="0" relativeHeight="251662336" behindDoc="0" locked="0" layoutInCell="1" allowOverlap="1" wp14:anchorId="3F2A3CF6" wp14:editId="52718D19">
                      <wp:simplePos x="0" y="0"/>
                      <wp:positionH relativeFrom="column">
                        <wp:posOffset>754050</wp:posOffset>
                      </wp:positionH>
                      <wp:positionV relativeFrom="paragraph">
                        <wp:posOffset>90805</wp:posOffset>
                      </wp:positionV>
                      <wp:extent cx="539496" cy="0"/>
                      <wp:effectExtent l="0" t="0" r="1333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7.15pt" to="101.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m/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"/>
                  </w:pict>
                </mc:Fallback>
              </mc:AlternateContent>
            </w:r>
          </w:p>
          <w:p w:rsidR="0068708E" w:rsidRPr="00540D95" w:rsidRDefault="0068708E" w:rsidP="00816082">
            <w:pPr>
              <w:spacing w:before="120"/>
              <w:jc w:val="center"/>
              <w:rPr>
                <w:sz w:val="26"/>
                <w:szCs w:val="26"/>
              </w:rPr>
            </w:pPr>
            <w:r w:rsidRPr="00540D95">
              <w:rPr>
                <w:sz w:val="26"/>
                <w:szCs w:val="26"/>
              </w:rPr>
              <w:t xml:space="preserve">Số:   </w:t>
            </w:r>
            <w:r w:rsidR="006658A1">
              <w:rPr>
                <w:sz w:val="26"/>
                <w:szCs w:val="26"/>
              </w:rPr>
              <w:t>10</w:t>
            </w:r>
            <w:r w:rsidRPr="00540D95">
              <w:rPr>
                <w:sz w:val="26"/>
                <w:szCs w:val="26"/>
              </w:rPr>
              <w:t xml:space="preserve">     /2020/NQ-HĐND</w:t>
            </w:r>
          </w:p>
        </w:tc>
        <w:tc>
          <w:tcPr>
            <w:tcW w:w="5924" w:type="dxa"/>
          </w:tcPr>
          <w:p w:rsidR="0068708E" w:rsidRPr="00540D95" w:rsidRDefault="0068708E" w:rsidP="00816082">
            <w:pPr>
              <w:jc w:val="center"/>
              <w:rPr>
                <w:b/>
                <w:spacing w:val="-10"/>
                <w:sz w:val="26"/>
                <w:szCs w:val="26"/>
              </w:rPr>
            </w:pPr>
            <w:r w:rsidRPr="00540D95">
              <w:rPr>
                <w:b/>
                <w:spacing w:val="-10"/>
                <w:sz w:val="26"/>
                <w:szCs w:val="26"/>
              </w:rPr>
              <w:t>CỘNG HÒA XÃ HỘI CHỦ NGHĨA VIỆT NAM</w:t>
            </w:r>
          </w:p>
          <w:p w:rsidR="0068708E" w:rsidRPr="00150CCE" w:rsidRDefault="0068708E" w:rsidP="00816082">
            <w:pPr>
              <w:jc w:val="center"/>
              <w:rPr>
                <w:b/>
                <w:sz w:val="28"/>
                <w:szCs w:val="28"/>
              </w:rPr>
            </w:pPr>
            <w:r w:rsidRPr="00150CCE">
              <w:rPr>
                <w:b/>
                <w:sz w:val="28"/>
                <w:szCs w:val="28"/>
              </w:rPr>
              <w:t>Độc lập - Tự do - Hạnh phúc</w:t>
            </w:r>
          </w:p>
          <w:p w:rsidR="0068708E" w:rsidRPr="00150CCE" w:rsidRDefault="0068708E" w:rsidP="00816082">
            <w:pPr>
              <w:jc w:val="center"/>
              <w:rPr>
                <w:i/>
                <w:sz w:val="28"/>
                <w:szCs w:val="28"/>
              </w:rPr>
            </w:pPr>
            <w:r w:rsidRPr="00150CCE">
              <w:rPr>
                <w:rFonts w:ascii="Calibri" w:eastAsia="Calibri" w:hAnsi="Calibri"/>
                <w:noProof/>
                <w:sz w:val="22"/>
                <w:szCs w:val="22"/>
              </w:rPr>
              <mc:AlternateContent>
                <mc:Choice Requires="wps">
                  <w:drawing>
                    <wp:anchor distT="4294967295" distB="4294967295" distL="114300" distR="114300" simplePos="0" relativeHeight="251661312" behindDoc="0" locked="0" layoutInCell="1" allowOverlap="1" wp14:anchorId="693EC8DA" wp14:editId="28AC4C0E">
                      <wp:simplePos x="0" y="0"/>
                      <wp:positionH relativeFrom="column">
                        <wp:posOffset>739775</wp:posOffset>
                      </wp:positionH>
                      <wp:positionV relativeFrom="paragraph">
                        <wp:posOffset>107010</wp:posOffset>
                      </wp:positionV>
                      <wp:extent cx="2150110" cy="0"/>
                      <wp:effectExtent l="0" t="0" r="215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8.45pt" to="227.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Bf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"/>
                  </w:pict>
                </mc:Fallback>
              </mc:AlternateContent>
            </w:r>
          </w:p>
          <w:p w:rsidR="0068708E" w:rsidRPr="00540D95" w:rsidRDefault="0068708E" w:rsidP="00816082">
            <w:pPr>
              <w:spacing w:before="120"/>
              <w:jc w:val="center"/>
              <w:rPr>
                <w:sz w:val="26"/>
                <w:szCs w:val="26"/>
              </w:rPr>
            </w:pPr>
            <w:r w:rsidRPr="00540D95">
              <w:rPr>
                <w:i/>
                <w:sz w:val="26"/>
                <w:szCs w:val="26"/>
              </w:rPr>
              <w:t xml:space="preserve">An Giang, ngày </w:t>
            </w:r>
            <w:r w:rsidR="006658A1">
              <w:rPr>
                <w:i/>
                <w:sz w:val="26"/>
                <w:szCs w:val="26"/>
              </w:rPr>
              <w:t>10</w:t>
            </w:r>
            <w:r w:rsidRPr="00540D95">
              <w:rPr>
                <w:i/>
                <w:sz w:val="26"/>
                <w:szCs w:val="26"/>
              </w:rPr>
              <w:t xml:space="preserve"> tháng  </w:t>
            </w:r>
            <w:r w:rsidR="006658A1">
              <w:rPr>
                <w:i/>
                <w:sz w:val="26"/>
                <w:szCs w:val="26"/>
              </w:rPr>
              <w:t>7</w:t>
            </w:r>
            <w:bookmarkStart w:id="0" w:name="_GoBack"/>
            <w:bookmarkEnd w:id="0"/>
            <w:r w:rsidRPr="00540D95">
              <w:rPr>
                <w:i/>
                <w:sz w:val="26"/>
                <w:szCs w:val="26"/>
              </w:rPr>
              <w:t xml:space="preserve"> </w:t>
            </w:r>
            <w:r>
              <w:rPr>
                <w:i/>
                <w:sz w:val="26"/>
                <w:szCs w:val="26"/>
              </w:rPr>
              <w:t xml:space="preserve"> </w:t>
            </w:r>
            <w:r w:rsidRPr="00540D95">
              <w:rPr>
                <w:i/>
                <w:sz w:val="26"/>
                <w:szCs w:val="26"/>
              </w:rPr>
              <w:t>năm 2020</w:t>
            </w:r>
          </w:p>
        </w:tc>
      </w:tr>
    </w:tbl>
    <w:p w:rsidR="000F5D12" w:rsidRPr="006278EB" w:rsidRDefault="006278EB" w:rsidP="006278EB">
      <w:pPr>
        <w:widowControl w:val="0"/>
        <w:tabs>
          <w:tab w:val="left" w:pos="1244"/>
        </w:tabs>
        <w:rPr>
          <w:b/>
          <w:sz w:val="28"/>
          <w:szCs w:val="28"/>
        </w:rPr>
      </w:pPr>
      <w:r>
        <w:rPr>
          <w:b/>
          <w:sz w:val="28"/>
          <w:szCs w:val="28"/>
        </w:rPr>
        <w:tab/>
      </w:r>
    </w:p>
    <w:p w:rsidR="008D5694" w:rsidRPr="0068708E" w:rsidRDefault="008D5694" w:rsidP="001114D0">
      <w:pPr>
        <w:widowControl w:val="0"/>
        <w:spacing w:before="120"/>
        <w:jc w:val="center"/>
        <w:rPr>
          <w:b/>
          <w:sz w:val="28"/>
          <w:szCs w:val="28"/>
        </w:rPr>
      </w:pPr>
      <w:r w:rsidRPr="0068708E">
        <w:rPr>
          <w:b/>
          <w:sz w:val="28"/>
          <w:szCs w:val="28"/>
        </w:rPr>
        <w:t>NGHỊ QUYẾT</w:t>
      </w:r>
    </w:p>
    <w:p w:rsidR="00E65306" w:rsidRDefault="008D5694" w:rsidP="001114D0">
      <w:pPr>
        <w:widowControl w:val="0"/>
        <w:jc w:val="center"/>
        <w:rPr>
          <w:b/>
          <w:sz w:val="28"/>
          <w:szCs w:val="28"/>
          <w:lang w:val="it-IT"/>
        </w:rPr>
      </w:pPr>
      <w:bookmarkStart w:id="1" w:name="_Hlk41478376"/>
      <w:r w:rsidRPr="0068708E">
        <w:rPr>
          <w:b/>
          <w:sz w:val="28"/>
          <w:szCs w:val="28"/>
          <w:lang w:val="vi-VN"/>
        </w:rPr>
        <w:t xml:space="preserve">Quy định </w:t>
      </w:r>
      <w:r w:rsidRPr="0068708E">
        <w:rPr>
          <w:b/>
          <w:sz w:val="28"/>
          <w:szCs w:val="28"/>
          <w:lang w:val="it-IT"/>
        </w:rPr>
        <w:t>mức chi hỗ trợ chế độ điều dưỡng phục hồi sức khỏe</w:t>
      </w:r>
      <w:r w:rsidR="00E65306">
        <w:rPr>
          <w:b/>
          <w:sz w:val="28"/>
          <w:szCs w:val="28"/>
          <w:lang w:val="it-IT"/>
        </w:rPr>
        <w:t xml:space="preserve"> tập trung</w:t>
      </w:r>
    </w:p>
    <w:p w:rsidR="008D5694" w:rsidRPr="0068708E" w:rsidRDefault="008D5694" w:rsidP="001114D0">
      <w:pPr>
        <w:widowControl w:val="0"/>
        <w:jc w:val="center"/>
        <w:rPr>
          <w:b/>
          <w:sz w:val="28"/>
          <w:szCs w:val="28"/>
          <w:lang w:val="it-IT"/>
        </w:rPr>
      </w:pPr>
      <w:r w:rsidRPr="0068708E">
        <w:rPr>
          <w:b/>
          <w:sz w:val="28"/>
          <w:szCs w:val="28"/>
          <w:lang w:val="it-IT"/>
        </w:rPr>
        <w:t>đối với người có công với cách mạng và thân nhân trên địa bàn tỉnh An Giang</w:t>
      </w:r>
    </w:p>
    <w:bookmarkEnd w:id="1"/>
    <w:p w:rsidR="000F5CA7" w:rsidRDefault="000F5CA7" w:rsidP="000F5CA7">
      <w:pPr>
        <w:widowControl w:val="0"/>
        <w:jc w:val="center"/>
        <w:rPr>
          <w:b/>
          <w:sz w:val="28"/>
          <w:szCs w:val="28"/>
        </w:rPr>
      </w:pPr>
      <w:r w:rsidRPr="0068708E">
        <w:rPr>
          <w:b/>
          <w:noProof/>
          <w:sz w:val="28"/>
          <w:szCs w:val="28"/>
          <w:vertAlign w:val="superscript"/>
        </w:rPr>
        <mc:AlternateContent>
          <mc:Choice Requires="wps">
            <w:drawing>
              <wp:anchor distT="0" distB="0" distL="114300" distR="114300" simplePos="0" relativeHeight="251659264" behindDoc="0" locked="0" layoutInCell="1" allowOverlap="1" wp14:anchorId="1BB84691" wp14:editId="0777E2AD">
                <wp:simplePos x="0" y="0"/>
                <wp:positionH relativeFrom="margin">
                  <wp:posOffset>1954225</wp:posOffset>
                </wp:positionH>
                <wp:positionV relativeFrom="paragraph">
                  <wp:posOffset>160020</wp:posOffset>
                </wp:positionV>
                <wp:extent cx="1894636" cy="0"/>
                <wp:effectExtent l="0" t="0" r="107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6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3.9pt;margin-top:12.6pt;width:149.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IfJQIAAEo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">
                <w10:wrap anchorx="margin"/>
              </v:shape>
            </w:pict>
          </mc:Fallback>
        </mc:AlternateContent>
      </w:r>
    </w:p>
    <w:p w:rsidR="000F5CA7" w:rsidRDefault="000F5CA7" w:rsidP="000F5CA7">
      <w:pPr>
        <w:widowControl w:val="0"/>
        <w:jc w:val="center"/>
        <w:rPr>
          <w:b/>
          <w:sz w:val="28"/>
          <w:szCs w:val="28"/>
        </w:rPr>
      </w:pPr>
    </w:p>
    <w:p w:rsidR="008D5694" w:rsidRPr="0068708E" w:rsidRDefault="008D5694" w:rsidP="000F5CA7">
      <w:pPr>
        <w:widowControl w:val="0"/>
        <w:jc w:val="center"/>
        <w:rPr>
          <w:b/>
          <w:sz w:val="28"/>
          <w:szCs w:val="28"/>
        </w:rPr>
      </w:pPr>
      <w:r w:rsidRPr="0068708E">
        <w:rPr>
          <w:b/>
          <w:sz w:val="28"/>
          <w:szCs w:val="28"/>
        </w:rPr>
        <w:t>HỘI ĐỒNG NHÂN DÂN TỈNH AN GIANG</w:t>
      </w:r>
    </w:p>
    <w:p w:rsidR="008D5694" w:rsidRDefault="008D5694" w:rsidP="000F5CA7">
      <w:pPr>
        <w:widowControl w:val="0"/>
        <w:jc w:val="center"/>
        <w:rPr>
          <w:b/>
          <w:sz w:val="28"/>
          <w:szCs w:val="28"/>
        </w:rPr>
      </w:pPr>
      <w:r w:rsidRPr="0068708E">
        <w:rPr>
          <w:b/>
          <w:sz w:val="28"/>
          <w:szCs w:val="28"/>
        </w:rPr>
        <w:t xml:space="preserve">KHÓA </w:t>
      </w:r>
      <w:r w:rsidR="0068708E">
        <w:rPr>
          <w:b/>
          <w:sz w:val="28"/>
          <w:szCs w:val="28"/>
        </w:rPr>
        <w:t>IX, KỲ HỌP THỨ 15</w:t>
      </w:r>
    </w:p>
    <w:p w:rsidR="000F5CA7" w:rsidRPr="0068708E" w:rsidRDefault="000F5CA7" w:rsidP="000F5CA7">
      <w:pPr>
        <w:widowControl w:val="0"/>
        <w:jc w:val="center"/>
        <w:rPr>
          <w:sz w:val="28"/>
          <w:szCs w:val="28"/>
        </w:rPr>
      </w:pPr>
    </w:p>
    <w:p w:rsidR="00261DFB" w:rsidRPr="00261DFB" w:rsidRDefault="00261DFB" w:rsidP="000F5CA7">
      <w:pPr>
        <w:pStyle w:val="NormalWeb"/>
        <w:spacing w:before="120" w:after="120"/>
        <w:ind w:firstLine="720"/>
        <w:jc w:val="both"/>
        <w:rPr>
          <w:i/>
          <w:iCs/>
          <w:sz w:val="28"/>
          <w:szCs w:val="28"/>
          <w:lang w:val="nb-NO"/>
        </w:rPr>
      </w:pPr>
      <w:r w:rsidRPr="00261DFB">
        <w:rPr>
          <w:i/>
          <w:iCs/>
          <w:sz w:val="28"/>
          <w:szCs w:val="28"/>
          <w:lang w:val="nb-NO"/>
        </w:rPr>
        <w:t>Căn cứ Luật Tổ chức chính quyền địa phương ngày 19 tháng 6 năm 2015;</w:t>
      </w:r>
    </w:p>
    <w:p w:rsidR="00261DFB" w:rsidRPr="00261DFB" w:rsidRDefault="00261DFB" w:rsidP="000F5CA7">
      <w:pPr>
        <w:pStyle w:val="NormalWeb"/>
        <w:spacing w:before="120" w:after="120"/>
        <w:ind w:firstLine="720"/>
        <w:jc w:val="both"/>
        <w:rPr>
          <w:i/>
          <w:iCs/>
          <w:sz w:val="28"/>
          <w:szCs w:val="28"/>
          <w:lang w:val="nb-NO"/>
        </w:rPr>
      </w:pPr>
      <w:r w:rsidRPr="00261DFB">
        <w:rPr>
          <w:i/>
          <w:iCs/>
          <w:sz w:val="28"/>
          <w:szCs w:val="28"/>
          <w:lang w:val="nb-NO"/>
        </w:rPr>
        <w:t>Căn cứ Luật sửa đổi</w:t>
      </w:r>
      <w:r w:rsidR="00E20F26">
        <w:rPr>
          <w:i/>
          <w:iCs/>
          <w:sz w:val="28"/>
          <w:szCs w:val="28"/>
          <w:lang w:val="nb-NO"/>
        </w:rPr>
        <w:t>, bổ sung một số điều của Luật T</w:t>
      </w:r>
      <w:r w:rsidRPr="00261DFB">
        <w:rPr>
          <w:i/>
          <w:iCs/>
          <w:sz w:val="28"/>
          <w:szCs w:val="28"/>
          <w:lang w:val="nb-NO"/>
        </w:rPr>
        <w:t>ổ chức Chính phủ và Luật Tổ chức chính quyền địa phương ngày 22 tháng 11 năm 2019;</w:t>
      </w:r>
    </w:p>
    <w:p w:rsidR="00261DFB" w:rsidRPr="00261DFB" w:rsidRDefault="00261DFB" w:rsidP="000F5CA7">
      <w:pPr>
        <w:pStyle w:val="NormalWeb"/>
        <w:spacing w:before="120" w:after="120"/>
        <w:ind w:firstLine="720"/>
        <w:jc w:val="both"/>
        <w:rPr>
          <w:i/>
          <w:iCs/>
          <w:sz w:val="28"/>
          <w:szCs w:val="28"/>
          <w:lang w:val="nb-NO"/>
        </w:rPr>
      </w:pPr>
      <w:r w:rsidRPr="00261DFB">
        <w:rPr>
          <w:i/>
          <w:iCs/>
          <w:sz w:val="28"/>
          <w:szCs w:val="28"/>
          <w:lang w:val="nb-NO"/>
        </w:rPr>
        <w:t>Căn cứ Luật Ban hành văn bản quy phạm pháp luật ngày 22 tháng 6 năm 2015;</w:t>
      </w:r>
    </w:p>
    <w:p w:rsidR="00261DFB" w:rsidRPr="00261DFB" w:rsidRDefault="00261DFB" w:rsidP="000F5CA7">
      <w:pPr>
        <w:pStyle w:val="NormalWeb"/>
        <w:spacing w:before="120" w:after="120"/>
        <w:ind w:firstLine="720"/>
        <w:jc w:val="both"/>
        <w:rPr>
          <w:i/>
          <w:iCs/>
          <w:sz w:val="28"/>
          <w:szCs w:val="28"/>
          <w:lang w:val="nb-NO"/>
        </w:rPr>
      </w:pPr>
      <w:r w:rsidRPr="00261DFB">
        <w:rPr>
          <w:i/>
          <w:iCs/>
          <w:sz w:val="28"/>
          <w:szCs w:val="28"/>
          <w:lang w:val="nb-NO"/>
        </w:rPr>
        <w:t>Căn cứ Luật Ngân sách nhà nước ngày 25 tháng 6 năm 2015;</w:t>
      </w:r>
    </w:p>
    <w:p w:rsidR="00261DFB" w:rsidRPr="00261DFB" w:rsidRDefault="00261DFB" w:rsidP="000F5CA7">
      <w:pPr>
        <w:pStyle w:val="NormalWeb"/>
        <w:spacing w:before="120" w:after="120"/>
        <w:ind w:firstLine="720"/>
        <w:jc w:val="both"/>
        <w:rPr>
          <w:i/>
          <w:iCs/>
          <w:sz w:val="28"/>
          <w:szCs w:val="28"/>
          <w:lang w:val="nb-NO"/>
        </w:rPr>
      </w:pPr>
      <w:r w:rsidRPr="00261DFB">
        <w:rPr>
          <w:i/>
          <w:iCs/>
          <w:sz w:val="28"/>
          <w:szCs w:val="28"/>
          <w:lang w:val="nb-NO"/>
        </w:rPr>
        <w:t xml:space="preserve">Căn cứ Pháp lệnh số 26/2005/PL-UBTVQH11 ngày 29 tháng </w:t>
      </w:r>
      <w:r w:rsidR="006A4D72">
        <w:rPr>
          <w:i/>
          <w:iCs/>
          <w:sz w:val="28"/>
          <w:szCs w:val="28"/>
          <w:lang w:val="nb-NO"/>
        </w:rPr>
        <w:t>6</w:t>
      </w:r>
      <w:r w:rsidRPr="00261DFB">
        <w:rPr>
          <w:i/>
          <w:iCs/>
          <w:sz w:val="28"/>
          <w:szCs w:val="28"/>
          <w:lang w:val="nb-NO"/>
        </w:rPr>
        <w:t xml:space="preserve"> năm 2005 </w:t>
      </w:r>
      <w:r w:rsidR="00BD7F08">
        <w:rPr>
          <w:i/>
          <w:iCs/>
          <w:sz w:val="28"/>
          <w:szCs w:val="28"/>
          <w:lang w:val="nb-NO"/>
        </w:rPr>
        <w:t xml:space="preserve">của Ủy ban Thường vụ Quốc hội </w:t>
      </w:r>
      <w:r w:rsidR="00E007E1">
        <w:rPr>
          <w:i/>
          <w:iCs/>
          <w:sz w:val="28"/>
          <w:szCs w:val="28"/>
          <w:lang w:val="nb-NO"/>
        </w:rPr>
        <w:t>ư</w:t>
      </w:r>
      <w:r w:rsidRPr="00261DFB">
        <w:rPr>
          <w:i/>
          <w:iCs/>
          <w:sz w:val="28"/>
          <w:szCs w:val="28"/>
          <w:lang w:val="nb-NO"/>
        </w:rPr>
        <w:t>u đãi người có công với cách mạng;</w:t>
      </w:r>
    </w:p>
    <w:p w:rsidR="00261DFB" w:rsidRPr="00261DFB" w:rsidRDefault="00261DFB" w:rsidP="000F5CA7">
      <w:pPr>
        <w:spacing w:before="120" w:after="120" w:line="252" w:lineRule="auto"/>
        <w:ind w:firstLine="720"/>
        <w:jc w:val="both"/>
        <w:rPr>
          <w:i/>
          <w:sz w:val="28"/>
          <w:szCs w:val="28"/>
          <w:shd w:val="clear" w:color="auto" w:fill="FFFFFF"/>
          <w:lang w:val="nb-NO"/>
        </w:rPr>
      </w:pPr>
      <w:r w:rsidRPr="00261DFB">
        <w:rPr>
          <w:i/>
          <w:sz w:val="28"/>
          <w:szCs w:val="28"/>
          <w:lang w:val="nb-NO"/>
        </w:rPr>
        <w:t xml:space="preserve">Căn cứ Pháp lệnh số </w:t>
      </w:r>
      <w:r w:rsidRPr="00261DFB">
        <w:rPr>
          <w:i/>
          <w:sz w:val="28"/>
          <w:szCs w:val="28"/>
          <w:shd w:val="clear" w:color="auto" w:fill="FFFFFF"/>
        </w:rPr>
        <w:t>04/2012/UBTVQH13</w:t>
      </w:r>
      <w:r w:rsidRPr="00261DFB">
        <w:rPr>
          <w:i/>
          <w:sz w:val="28"/>
          <w:szCs w:val="28"/>
          <w:shd w:val="clear" w:color="auto" w:fill="FFFFFF"/>
          <w:lang w:val="nb-NO"/>
        </w:rPr>
        <w:t xml:space="preserve"> ngày 16 tháng 7 năm 2012 của Ủy ban Thường vụ Quốc hội</w:t>
      </w:r>
      <w:r w:rsidRPr="00261DFB">
        <w:rPr>
          <w:i/>
          <w:sz w:val="28"/>
          <w:szCs w:val="28"/>
          <w:lang w:val="nb-NO"/>
        </w:rPr>
        <w:t xml:space="preserve"> </w:t>
      </w:r>
      <w:r w:rsidRPr="00261DFB">
        <w:rPr>
          <w:i/>
          <w:sz w:val="28"/>
          <w:szCs w:val="28"/>
          <w:shd w:val="clear" w:color="auto" w:fill="FFFFFF"/>
          <w:lang w:val="nb-NO"/>
        </w:rPr>
        <w:t>S</w:t>
      </w:r>
      <w:r w:rsidRPr="00261DFB">
        <w:rPr>
          <w:i/>
          <w:sz w:val="28"/>
          <w:szCs w:val="28"/>
          <w:shd w:val="clear" w:color="auto" w:fill="FFFFFF"/>
        </w:rPr>
        <w:t xml:space="preserve">ửa đổi, bổ </w:t>
      </w:r>
      <w:r w:rsidR="00E007E1">
        <w:rPr>
          <w:i/>
          <w:sz w:val="28"/>
          <w:szCs w:val="28"/>
          <w:shd w:val="clear" w:color="auto" w:fill="FFFFFF"/>
        </w:rPr>
        <w:t>sung một số điều của Pháp lệnh ư</w:t>
      </w:r>
      <w:r w:rsidRPr="00261DFB">
        <w:rPr>
          <w:i/>
          <w:sz w:val="28"/>
          <w:szCs w:val="28"/>
          <w:shd w:val="clear" w:color="auto" w:fill="FFFFFF"/>
        </w:rPr>
        <w:t>u đãi người có công với cách mạng</w:t>
      </w:r>
      <w:r w:rsidRPr="00261DFB">
        <w:rPr>
          <w:i/>
          <w:sz w:val="28"/>
          <w:szCs w:val="28"/>
          <w:shd w:val="clear" w:color="auto" w:fill="FFFFFF"/>
          <w:lang w:val="nb-NO"/>
        </w:rPr>
        <w:t>;</w:t>
      </w:r>
    </w:p>
    <w:p w:rsidR="00261DFB" w:rsidRPr="00261DFB" w:rsidRDefault="00261DFB" w:rsidP="000F5CA7">
      <w:pPr>
        <w:pStyle w:val="BodyText"/>
        <w:spacing w:before="120" w:line="252" w:lineRule="auto"/>
        <w:ind w:firstLine="720"/>
        <w:jc w:val="both"/>
        <w:rPr>
          <w:rFonts w:ascii="Times New Roman" w:hAnsi="Times New Roman"/>
          <w:i/>
          <w:sz w:val="28"/>
          <w:szCs w:val="28"/>
        </w:rPr>
      </w:pPr>
      <w:r w:rsidRPr="00261DFB">
        <w:rPr>
          <w:rFonts w:ascii="Times New Roman" w:hAnsi="Times New Roman"/>
          <w:i/>
          <w:sz w:val="28"/>
          <w:szCs w:val="28"/>
        </w:rPr>
        <w:t xml:space="preserve">Căn cứ Nghị định số 31/2013/NĐ-CP ngày 09 tháng 4 năm 2013 của Chính phủ quy định </w:t>
      </w:r>
      <w:r w:rsidR="00B02638">
        <w:rPr>
          <w:rFonts w:ascii="Times New Roman" w:hAnsi="Times New Roman"/>
          <w:i/>
          <w:sz w:val="28"/>
          <w:szCs w:val="28"/>
        </w:rPr>
        <w:t xml:space="preserve">chi tiết, hướng dẫn thi hành một số điều của Pháp lệnh ưu đãi </w:t>
      </w:r>
      <w:r w:rsidRPr="00261DFB">
        <w:rPr>
          <w:rFonts w:ascii="Times New Roman" w:hAnsi="Times New Roman"/>
          <w:i/>
          <w:sz w:val="28"/>
          <w:szCs w:val="28"/>
        </w:rPr>
        <w:t>người có công với cách mạng;</w:t>
      </w:r>
    </w:p>
    <w:p w:rsidR="00261DFB" w:rsidRPr="00261DFB" w:rsidRDefault="00261DFB" w:rsidP="000F5CA7">
      <w:pPr>
        <w:pStyle w:val="BodyText"/>
        <w:spacing w:before="120" w:line="252" w:lineRule="auto"/>
        <w:ind w:firstLine="720"/>
        <w:jc w:val="both"/>
        <w:rPr>
          <w:rFonts w:ascii="Times New Roman" w:hAnsi="Times New Roman"/>
          <w:i/>
          <w:sz w:val="28"/>
          <w:szCs w:val="28"/>
        </w:rPr>
      </w:pPr>
      <w:r w:rsidRPr="00261DFB">
        <w:rPr>
          <w:rFonts w:ascii="Times New Roman" w:hAnsi="Times New Roman"/>
          <w:i/>
          <w:sz w:val="28"/>
          <w:szCs w:val="28"/>
        </w:rPr>
        <w:t>Căn cứ Thông tư liên tịch số 13/2014/TTLT-BLĐTBXH-BTC ngày 03 tháng 6 năm 2014 của Bộ Lao động - Thương binh và Xã hội</w:t>
      </w:r>
      <w:r w:rsidR="00553567">
        <w:rPr>
          <w:rFonts w:ascii="Times New Roman" w:hAnsi="Times New Roman"/>
          <w:i/>
          <w:sz w:val="28"/>
          <w:szCs w:val="28"/>
        </w:rPr>
        <w:t xml:space="preserve"> - Bộ Tài chính hướng dẫn chế </w:t>
      </w:r>
      <w:r w:rsidRPr="00261DFB">
        <w:rPr>
          <w:rFonts w:ascii="Times New Roman" w:hAnsi="Times New Roman"/>
          <w:i/>
          <w:sz w:val="28"/>
          <w:szCs w:val="28"/>
        </w:rPr>
        <w:t>độ điều dưỡng phục hồi sức khỏe, cấp phương tiện trợ giúp, dụng cụ chỉnh hình đối với người có công với cách mạng và thân nhân; quản lý các công trình ghi công liệt sĩ;</w:t>
      </w:r>
    </w:p>
    <w:p w:rsidR="00261DFB" w:rsidRPr="00261DFB" w:rsidRDefault="00261DFB" w:rsidP="000F5CA7">
      <w:pPr>
        <w:widowControl w:val="0"/>
        <w:spacing w:before="120" w:after="120" w:line="252" w:lineRule="auto"/>
        <w:ind w:firstLine="720"/>
        <w:jc w:val="both"/>
        <w:rPr>
          <w:i/>
          <w:sz w:val="28"/>
          <w:szCs w:val="28"/>
        </w:rPr>
      </w:pPr>
      <w:r w:rsidRPr="00261DFB">
        <w:rPr>
          <w:i/>
          <w:sz w:val="28"/>
          <w:szCs w:val="28"/>
          <w:lang w:val="vi-VN"/>
        </w:rPr>
        <w:t xml:space="preserve">Căn cứ </w:t>
      </w:r>
      <w:r w:rsidRPr="00261DFB">
        <w:rPr>
          <w:i/>
          <w:sz w:val="28"/>
          <w:szCs w:val="28"/>
        </w:rPr>
        <w:t xml:space="preserve">Thông tư số </w:t>
      </w:r>
      <w:r w:rsidRPr="00261DFB">
        <w:rPr>
          <w:i/>
          <w:sz w:val="28"/>
          <w:szCs w:val="28"/>
          <w:lang w:val="vi-VN"/>
        </w:rPr>
        <w:t>101</w:t>
      </w:r>
      <w:r w:rsidRPr="00261DFB">
        <w:rPr>
          <w:i/>
          <w:sz w:val="28"/>
          <w:szCs w:val="28"/>
        </w:rPr>
        <w:t>/</w:t>
      </w:r>
      <w:r w:rsidRPr="00261DFB">
        <w:rPr>
          <w:i/>
          <w:sz w:val="28"/>
          <w:szCs w:val="28"/>
          <w:lang w:val="vi-VN"/>
        </w:rPr>
        <w:t>2018/</w:t>
      </w:r>
      <w:r w:rsidRPr="00261DFB">
        <w:rPr>
          <w:i/>
          <w:sz w:val="28"/>
          <w:szCs w:val="28"/>
        </w:rPr>
        <w:t xml:space="preserve">TT-BTC ngày </w:t>
      </w:r>
      <w:r w:rsidRPr="00261DFB">
        <w:rPr>
          <w:i/>
          <w:sz w:val="28"/>
          <w:szCs w:val="28"/>
          <w:lang w:val="vi-VN"/>
        </w:rPr>
        <w:t>14</w:t>
      </w:r>
      <w:r w:rsidRPr="00261DFB">
        <w:rPr>
          <w:i/>
          <w:sz w:val="28"/>
          <w:szCs w:val="28"/>
        </w:rPr>
        <w:t xml:space="preserve"> tháng </w:t>
      </w:r>
      <w:r w:rsidRPr="00261DFB">
        <w:rPr>
          <w:i/>
          <w:sz w:val="28"/>
          <w:szCs w:val="28"/>
          <w:lang w:val="vi-VN"/>
        </w:rPr>
        <w:t>11</w:t>
      </w:r>
      <w:r w:rsidRPr="00261DFB">
        <w:rPr>
          <w:i/>
          <w:sz w:val="28"/>
          <w:szCs w:val="28"/>
        </w:rPr>
        <w:t xml:space="preserve"> năm 201</w:t>
      </w:r>
      <w:r w:rsidRPr="00261DFB">
        <w:rPr>
          <w:i/>
          <w:sz w:val="28"/>
          <w:szCs w:val="28"/>
          <w:lang w:val="vi-VN"/>
        </w:rPr>
        <w:t>8</w:t>
      </w:r>
      <w:r w:rsidRPr="00261DFB">
        <w:rPr>
          <w:i/>
          <w:sz w:val="28"/>
          <w:szCs w:val="28"/>
        </w:rPr>
        <w:t xml:space="preserve"> của Bộ trưởng Bộ Tài chính quy định </w:t>
      </w:r>
      <w:r w:rsidRPr="00261DFB">
        <w:rPr>
          <w:i/>
          <w:sz w:val="28"/>
          <w:szCs w:val="28"/>
          <w:lang w:val="vi-VN"/>
        </w:rPr>
        <w:t xml:space="preserve">quản lý và sử dụng kinh phí thực hiện chính sách ưu đãi </w:t>
      </w:r>
      <w:r w:rsidRPr="00261DFB">
        <w:rPr>
          <w:i/>
          <w:sz w:val="28"/>
          <w:szCs w:val="28"/>
        </w:rPr>
        <w:t>người có công với cách mạng</w:t>
      </w:r>
      <w:r w:rsidRPr="00261DFB">
        <w:rPr>
          <w:i/>
          <w:sz w:val="28"/>
          <w:szCs w:val="28"/>
          <w:lang w:val="vi-VN"/>
        </w:rPr>
        <w:t xml:space="preserve"> và người trực tiếp tham gia kháng chiến do ngành </w:t>
      </w:r>
      <w:r w:rsidRPr="00261DFB">
        <w:rPr>
          <w:i/>
          <w:sz w:val="28"/>
          <w:szCs w:val="28"/>
        </w:rPr>
        <w:t xml:space="preserve">Lao động - </w:t>
      </w:r>
      <w:r w:rsidRPr="00261DFB">
        <w:rPr>
          <w:i/>
          <w:sz w:val="28"/>
          <w:szCs w:val="28"/>
          <w:lang w:val="vi-VN"/>
        </w:rPr>
        <w:t>Thương binh và Xã hội quản lý</w:t>
      </w:r>
      <w:r w:rsidRPr="00261DFB">
        <w:rPr>
          <w:i/>
          <w:sz w:val="28"/>
          <w:szCs w:val="28"/>
        </w:rPr>
        <w:t>;</w:t>
      </w:r>
    </w:p>
    <w:p w:rsidR="007E2391" w:rsidRDefault="0068632E" w:rsidP="00A02C42">
      <w:pPr>
        <w:widowControl w:val="0"/>
        <w:spacing w:before="120" w:after="120" w:line="252" w:lineRule="auto"/>
        <w:ind w:firstLine="720"/>
        <w:jc w:val="both"/>
        <w:rPr>
          <w:i/>
          <w:sz w:val="28"/>
          <w:szCs w:val="28"/>
        </w:rPr>
      </w:pPr>
      <w:r>
        <w:rPr>
          <w:i/>
          <w:sz w:val="28"/>
          <w:szCs w:val="28"/>
        </w:rPr>
        <w:t>Xét Tờ trình số 379</w:t>
      </w:r>
      <w:r w:rsidR="008D5694" w:rsidRPr="008D5694">
        <w:rPr>
          <w:i/>
          <w:sz w:val="28"/>
          <w:szCs w:val="28"/>
        </w:rPr>
        <w:t>/TTr-UBND ngày</w:t>
      </w:r>
      <w:r>
        <w:rPr>
          <w:i/>
          <w:sz w:val="28"/>
          <w:szCs w:val="28"/>
        </w:rPr>
        <w:t xml:space="preserve"> 29 tháng 6 </w:t>
      </w:r>
      <w:r w:rsidR="008D5694" w:rsidRPr="008D5694">
        <w:rPr>
          <w:i/>
          <w:sz w:val="28"/>
          <w:szCs w:val="28"/>
        </w:rPr>
        <w:t>năm 20</w:t>
      </w:r>
      <w:r w:rsidR="008D5694" w:rsidRPr="008D5694">
        <w:rPr>
          <w:i/>
          <w:sz w:val="28"/>
          <w:szCs w:val="28"/>
          <w:lang w:val="vi-VN"/>
        </w:rPr>
        <w:t>20</w:t>
      </w:r>
      <w:r w:rsidR="008D5694" w:rsidRPr="008D5694">
        <w:rPr>
          <w:i/>
          <w:sz w:val="28"/>
          <w:szCs w:val="28"/>
        </w:rPr>
        <w:t xml:space="preserve"> của Ủy ban nhân dân tỉnh </w:t>
      </w:r>
      <w:r w:rsidR="006F3D3A">
        <w:rPr>
          <w:i/>
          <w:sz w:val="28"/>
          <w:szCs w:val="28"/>
        </w:rPr>
        <w:t>dự thảo</w:t>
      </w:r>
      <w:r w:rsidR="008D5694" w:rsidRPr="008D5694">
        <w:rPr>
          <w:i/>
          <w:sz w:val="28"/>
          <w:szCs w:val="28"/>
        </w:rPr>
        <w:t xml:space="preserve"> Nghị quyết </w:t>
      </w:r>
      <w:r w:rsidR="008D5694" w:rsidRPr="008D5694">
        <w:rPr>
          <w:i/>
          <w:sz w:val="28"/>
          <w:szCs w:val="28"/>
          <w:lang w:val="vi-VN"/>
        </w:rPr>
        <w:t>quy định</w:t>
      </w:r>
      <w:r w:rsidR="008D5694" w:rsidRPr="008D5694">
        <w:rPr>
          <w:i/>
          <w:sz w:val="28"/>
          <w:szCs w:val="28"/>
        </w:rPr>
        <w:t xml:space="preserve"> </w:t>
      </w:r>
      <w:r w:rsidR="008D5694" w:rsidRPr="008D5694">
        <w:rPr>
          <w:i/>
          <w:sz w:val="28"/>
          <w:szCs w:val="28"/>
          <w:lang w:val="it-IT"/>
        </w:rPr>
        <w:t xml:space="preserve">mức chi hỗ trợ chế độ điều dưỡng phục hồi sức khỏe </w:t>
      </w:r>
      <w:r w:rsidR="00FE39EF">
        <w:rPr>
          <w:i/>
          <w:sz w:val="28"/>
          <w:szCs w:val="28"/>
          <w:lang w:val="it-IT"/>
        </w:rPr>
        <w:t xml:space="preserve">tập trung </w:t>
      </w:r>
      <w:r w:rsidR="008D5694" w:rsidRPr="008D5694">
        <w:rPr>
          <w:i/>
          <w:sz w:val="28"/>
          <w:szCs w:val="28"/>
          <w:lang w:val="it-IT"/>
        </w:rPr>
        <w:t>đối với người có công với cách mạng và thân nhân trên địa bàn tỉnh An Giang</w:t>
      </w:r>
      <w:r w:rsidR="008D5694" w:rsidRPr="008D5694">
        <w:rPr>
          <w:i/>
          <w:sz w:val="28"/>
          <w:szCs w:val="28"/>
        </w:rPr>
        <w:t xml:space="preserve">; Báo cáo thẩm tra của Ban </w:t>
      </w:r>
      <w:r w:rsidR="0078227A">
        <w:rPr>
          <w:i/>
          <w:sz w:val="28"/>
          <w:szCs w:val="28"/>
        </w:rPr>
        <w:t>V</w:t>
      </w:r>
      <w:r w:rsidR="00261DFB">
        <w:rPr>
          <w:i/>
          <w:sz w:val="28"/>
          <w:szCs w:val="28"/>
        </w:rPr>
        <w:t>ăn hóa - x</w:t>
      </w:r>
      <w:r w:rsidR="0068708E">
        <w:rPr>
          <w:i/>
          <w:sz w:val="28"/>
          <w:szCs w:val="28"/>
        </w:rPr>
        <w:t>ã hội; ý kiến thảo luận của đ</w:t>
      </w:r>
      <w:r w:rsidR="008D5694" w:rsidRPr="008D5694">
        <w:rPr>
          <w:i/>
          <w:sz w:val="28"/>
          <w:szCs w:val="28"/>
        </w:rPr>
        <w:t>ại biểu Hội đồng nhân dân tỉnh tại kỳ họp.</w:t>
      </w:r>
    </w:p>
    <w:p w:rsidR="00060A30" w:rsidRDefault="00060A30" w:rsidP="00A02C42">
      <w:pPr>
        <w:widowControl w:val="0"/>
        <w:spacing w:before="120" w:after="120" w:line="252" w:lineRule="auto"/>
        <w:ind w:firstLine="720"/>
        <w:jc w:val="both"/>
        <w:rPr>
          <w:i/>
          <w:sz w:val="28"/>
          <w:szCs w:val="28"/>
        </w:rPr>
      </w:pPr>
    </w:p>
    <w:p w:rsidR="008D5694" w:rsidRPr="008D5694" w:rsidRDefault="008D5694" w:rsidP="00060A30">
      <w:pPr>
        <w:widowControl w:val="0"/>
        <w:spacing w:before="120" w:after="120"/>
        <w:jc w:val="center"/>
        <w:rPr>
          <w:b/>
          <w:sz w:val="28"/>
          <w:szCs w:val="28"/>
        </w:rPr>
      </w:pPr>
      <w:r w:rsidRPr="008D5694">
        <w:rPr>
          <w:b/>
          <w:sz w:val="28"/>
          <w:szCs w:val="28"/>
        </w:rPr>
        <w:lastRenderedPageBreak/>
        <w:t>QUYẾT NGHỊ</w:t>
      </w:r>
      <w:r w:rsidRPr="008D5694">
        <w:rPr>
          <w:b/>
          <w:sz w:val="28"/>
          <w:szCs w:val="28"/>
          <w:lang w:val="vi-VN"/>
        </w:rPr>
        <w:t>:</w:t>
      </w:r>
    </w:p>
    <w:p w:rsidR="008D5694" w:rsidRPr="008D5694" w:rsidRDefault="008D5694" w:rsidP="007033FB">
      <w:pPr>
        <w:spacing w:before="80" w:after="80"/>
        <w:ind w:firstLine="709"/>
        <w:jc w:val="both"/>
        <w:rPr>
          <w:sz w:val="28"/>
          <w:szCs w:val="28"/>
          <w:lang w:val="nl-NL"/>
        </w:rPr>
      </w:pPr>
      <w:r w:rsidRPr="008D5694">
        <w:rPr>
          <w:b/>
          <w:sz w:val="28"/>
          <w:szCs w:val="28"/>
          <w:lang w:val="nb-NO"/>
        </w:rPr>
        <w:t>Điều 1.</w:t>
      </w:r>
      <w:r w:rsidRPr="008D5694">
        <w:rPr>
          <w:sz w:val="28"/>
          <w:szCs w:val="28"/>
        </w:rPr>
        <w:t xml:space="preserve"> </w:t>
      </w:r>
      <w:bookmarkStart w:id="2" w:name="_Hlk515886378"/>
      <w:r w:rsidRPr="008D5694">
        <w:rPr>
          <w:sz w:val="28"/>
          <w:szCs w:val="28"/>
        </w:rPr>
        <w:t xml:space="preserve">Quy định mức chi hỗ trợ chế độ điều dưỡng phục hồi sức khỏe </w:t>
      </w:r>
      <w:r w:rsidR="00E27008">
        <w:rPr>
          <w:sz w:val="28"/>
          <w:szCs w:val="28"/>
        </w:rPr>
        <w:t xml:space="preserve">tập trung </w:t>
      </w:r>
      <w:r w:rsidRPr="008D5694">
        <w:rPr>
          <w:sz w:val="28"/>
          <w:szCs w:val="28"/>
        </w:rPr>
        <w:t xml:space="preserve">đối với người có công với cách mạng và thân nhân trên địa bàn tỉnh An Giang </w:t>
      </w:r>
      <w:r w:rsidRPr="008D5694">
        <w:rPr>
          <w:sz w:val="28"/>
          <w:szCs w:val="28"/>
          <w:lang w:val="vi-VN"/>
        </w:rPr>
        <w:t>trong thời gian đi điều dưỡng tập trung</w:t>
      </w:r>
      <w:r w:rsidRPr="008D5694">
        <w:rPr>
          <w:sz w:val="28"/>
          <w:szCs w:val="28"/>
          <w:lang w:val="nl-NL"/>
        </w:rPr>
        <w:t>, như sau:</w:t>
      </w:r>
    </w:p>
    <w:p w:rsidR="008D5694" w:rsidRPr="008D5694" w:rsidRDefault="008D5694" w:rsidP="007033FB">
      <w:pPr>
        <w:spacing w:before="80" w:after="80"/>
        <w:ind w:firstLine="709"/>
        <w:jc w:val="both"/>
        <w:rPr>
          <w:sz w:val="28"/>
          <w:szCs w:val="28"/>
          <w:lang w:val="nl-NL"/>
        </w:rPr>
      </w:pPr>
      <w:r w:rsidRPr="008D5694">
        <w:rPr>
          <w:sz w:val="28"/>
          <w:szCs w:val="28"/>
          <w:lang w:val="nl-NL"/>
        </w:rPr>
        <w:t xml:space="preserve">1. Phạm vi và đối tượng </w:t>
      </w:r>
      <w:r w:rsidRPr="008D5694">
        <w:rPr>
          <w:sz w:val="28"/>
          <w:szCs w:val="28"/>
          <w:lang w:val="vi-VN"/>
        </w:rPr>
        <w:t xml:space="preserve">thụ </w:t>
      </w:r>
      <w:r w:rsidRPr="008D5694">
        <w:rPr>
          <w:sz w:val="28"/>
          <w:szCs w:val="28"/>
          <w:lang w:val="nl-NL"/>
        </w:rPr>
        <w:t>hưởng:</w:t>
      </w:r>
      <w:r w:rsidRPr="008D5694">
        <w:rPr>
          <w:sz w:val="28"/>
          <w:szCs w:val="28"/>
        </w:rPr>
        <w:t xml:space="preserve"> </w:t>
      </w:r>
      <w:r w:rsidRPr="008D5694">
        <w:rPr>
          <w:sz w:val="28"/>
          <w:szCs w:val="28"/>
          <w:lang w:val="vi-VN"/>
        </w:rPr>
        <w:t xml:space="preserve">Người có công với cách mạng và thân nhân đang hưởng trợ cấp ưu đãi hàng tháng tại tỉnh An </w:t>
      </w:r>
      <w:r w:rsidRPr="008D5694">
        <w:rPr>
          <w:sz w:val="28"/>
          <w:szCs w:val="28"/>
        </w:rPr>
        <w:t>Giang</w:t>
      </w:r>
      <w:r w:rsidRPr="008D5694">
        <w:rPr>
          <w:sz w:val="28"/>
          <w:szCs w:val="28"/>
          <w:lang w:val="vi-VN"/>
        </w:rPr>
        <w:t xml:space="preserve">, đủ điều kiện hưởng chế độ </w:t>
      </w:r>
      <w:r w:rsidRPr="008D5694">
        <w:rPr>
          <w:sz w:val="28"/>
          <w:szCs w:val="28"/>
        </w:rPr>
        <w:t xml:space="preserve">điều dưỡng phục hồi sức khỏe </w:t>
      </w:r>
      <w:r w:rsidRPr="008D5694">
        <w:rPr>
          <w:sz w:val="28"/>
          <w:szCs w:val="28"/>
          <w:lang w:val="vi-VN"/>
        </w:rPr>
        <w:t>theo quy định</w:t>
      </w:r>
      <w:r w:rsidRPr="008D5694">
        <w:rPr>
          <w:sz w:val="28"/>
          <w:szCs w:val="28"/>
        </w:rPr>
        <w:t>.</w:t>
      </w:r>
    </w:p>
    <w:p w:rsidR="008D5694" w:rsidRPr="008D5694" w:rsidRDefault="008D5694" w:rsidP="007033FB">
      <w:pPr>
        <w:spacing w:before="80" w:after="80"/>
        <w:ind w:firstLine="709"/>
        <w:jc w:val="both"/>
        <w:rPr>
          <w:bCs/>
          <w:sz w:val="28"/>
          <w:szCs w:val="28"/>
          <w:lang w:val="vi-VN"/>
        </w:rPr>
      </w:pPr>
      <w:r w:rsidRPr="008D5694">
        <w:rPr>
          <w:bCs/>
          <w:sz w:val="28"/>
          <w:szCs w:val="28"/>
          <w:lang w:val="vi-VN"/>
        </w:rPr>
        <w:t xml:space="preserve">2. </w:t>
      </w:r>
      <w:r w:rsidRPr="008D5694">
        <w:rPr>
          <w:bCs/>
          <w:sz w:val="28"/>
          <w:szCs w:val="28"/>
        </w:rPr>
        <w:t>Chế độ</w:t>
      </w:r>
      <w:r w:rsidRPr="008D5694">
        <w:rPr>
          <w:bCs/>
          <w:sz w:val="28"/>
          <w:szCs w:val="28"/>
          <w:lang w:val="vi-VN"/>
        </w:rPr>
        <w:t xml:space="preserve"> hỗ trợ:</w:t>
      </w:r>
    </w:p>
    <w:p w:rsidR="008D5694" w:rsidRPr="008D5694" w:rsidRDefault="008D5694" w:rsidP="007033FB">
      <w:pPr>
        <w:spacing w:before="80" w:after="80"/>
        <w:ind w:firstLine="709"/>
        <w:jc w:val="both"/>
        <w:rPr>
          <w:bCs/>
          <w:sz w:val="28"/>
          <w:szCs w:val="28"/>
          <w:lang w:val="vi-VN"/>
        </w:rPr>
      </w:pPr>
      <w:r w:rsidRPr="008D5694">
        <w:rPr>
          <w:bCs/>
          <w:sz w:val="28"/>
          <w:szCs w:val="28"/>
          <w:lang w:val="vi-VN"/>
        </w:rPr>
        <w:t>a</w:t>
      </w:r>
      <w:r w:rsidRPr="008D5694">
        <w:rPr>
          <w:bCs/>
          <w:sz w:val="28"/>
          <w:szCs w:val="28"/>
        </w:rPr>
        <w:t>)</w:t>
      </w:r>
      <w:r w:rsidRPr="008D5694">
        <w:rPr>
          <w:bCs/>
          <w:sz w:val="28"/>
          <w:szCs w:val="28"/>
          <w:lang w:val="vi-VN"/>
        </w:rPr>
        <w:t xml:space="preserve"> Hỗ trợ</w:t>
      </w:r>
      <w:r w:rsidRPr="008D5694">
        <w:rPr>
          <w:bCs/>
          <w:sz w:val="28"/>
          <w:szCs w:val="28"/>
          <w:lang w:val="en-GB"/>
        </w:rPr>
        <w:t xml:space="preserve"> chế độ điều dưỡng </w:t>
      </w:r>
      <w:r w:rsidRPr="008D5694">
        <w:rPr>
          <w:bCs/>
          <w:sz w:val="28"/>
          <w:szCs w:val="28"/>
          <w:lang w:val="it-IT"/>
        </w:rPr>
        <w:t xml:space="preserve">phục hồi sức khỏe </w:t>
      </w:r>
      <w:r w:rsidRPr="008D5694">
        <w:rPr>
          <w:bCs/>
          <w:sz w:val="28"/>
          <w:szCs w:val="28"/>
          <w:lang w:val="vi-VN"/>
        </w:rPr>
        <w:t>của</w:t>
      </w:r>
      <w:r w:rsidRPr="008D5694">
        <w:rPr>
          <w:bCs/>
          <w:sz w:val="28"/>
          <w:szCs w:val="28"/>
          <w:lang w:val="en-GB"/>
        </w:rPr>
        <w:t xml:space="preserve"> người có công </w:t>
      </w:r>
      <w:r w:rsidRPr="008D5694">
        <w:rPr>
          <w:bCs/>
          <w:sz w:val="28"/>
          <w:szCs w:val="28"/>
          <w:lang w:val="vi-VN"/>
        </w:rPr>
        <w:t>với cách mạng</w:t>
      </w:r>
      <w:r w:rsidRPr="008D5694">
        <w:rPr>
          <w:bCs/>
          <w:sz w:val="28"/>
          <w:szCs w:val="28"/>
          <w:lang w:val="en-GB"/>
        </w:rPr>
        <w:t xml:space="preserve"> </w:t>
      </w:r>
      <w:r w:rsidRPr="008D5694">
        <w:rPr>
          <w:bCs/>
          <w:sz w:val="28"/>
          <w:szCs w:val="28"/>
          <w:lang w:val="vi-VN"/>
        </w:rPr>
        <w:t xml:space="preserve">và thân nhân trong </w:t>
      </w:r>
      <w:r w:rsidR="003F40C7">
        <w:rPr>
          <w:bCs/>
          <w:sz w:val="28"/>
          <w:szCs w:val="28"/>
          <w:lang w:val="vi-VN"/>
        </w:rPr>
        <w:t>thời gian điều dưỡng tập trung,</w:t>
      </w:r>
      <w:r w:rsidR="003F40C7">
        <w:rPr>
          <w:bCs/>
          <w:sz w:val="28"/>
          <w:szCs w:val="28"/>
        </w:rPr>
        <w:t xml:space="preserve"> </w:t>
      </w:r>
      <w:r w:rsidRPr="008D5694">
        <w:rPr>
          <w:bCs/>
          <w:sz w:val="28"/>
          <w:szCs w:val="28"/>
          <w:lang w:val="vi-VN"/>
        </w:rPr>
        <w:t xml:space="preserve">với định </w:t>
      </w:r>
      <w:r w:rsidR="003F40C7">
        <w:rPr>
          <w:bCs/>
          <w:sz w:val="28"/>
          <w:szCs w:val="28"/>
          <w:lang w:val="en-GB"/>
        </w:rPr>
        <w:t xml:space="preserve">mức </w:t>
      </w:r>
      <w:r w:rsidRPr="008D5694">
        <w:rPr>
          <w:bCs/>
          <w:sz w:val="28"/>
          <w:szCs w:val="28"/>
          <w:lang w:val="vi-VN"/>
        </w:rPr>
        <w:t>780.000 đồng</w:t>
      </w:r>
      <w:r w:rsidRPr="008D5694">
        <w:rPr>
          <w:bCs/>
          <w:sz w:val="28"/>
          <w:szCs w:val="28"/>
          <w:lang w:val="en-GB"/>
        </w:rPr>
        <w:t>/người</w:t>
      </w:r>
      <w:r w:rsidRPr="008D5694">
        <w:rPr>
          <w:bCs/>
          <w:sz w:val="28"/>
          <w:szCs w:val="28"/>
        </w:rPr>
        <w:t xml:space="preserve"> để chi </w:t>
      </w:r>
      <w:r w:rsidRPr="008D5694">
        <w:rPr>
          <w:bCs/>
          <w:sz w:val="28"/>
          <w:szCs w:val="28"/>
          <w:lang w:val="vi-VN"/>
        </w:rPr>
        <w:t xml:space="preserve">thêm </w:t>
      </w:r>
      <w:r w:rsidRPr="008D5694">
        <w:rPr>
          <w:bCs/>
          <w:sz w:val="28"/>
          <w:szCs w:val="28"/>
        </w:rPr>
        <w:t xml:space="preserve">cho </w:t>
      </w:r>
      <w:r w:rsidR="00616152">
        <w:rPr>
          <w:bCs/>
          <w:sz w:val="28"/>
          <w:szCs w:val="28"/>
          <w:lang w:val="vi-VN"/>
        </w:rPr>
        <w:t>các khoản</w:t>
      </w:r>
      <w:r w:rsidR="00F75066">
        <w:rPr>
          <w:bCs/>
          <w:sz w:val="28"/>
          <w:szCs w:val="28"/>
        </w:rPr>
        <w:t xml:space="preserve"> chi phí phát sinh theo nội dung</w:t>
      </w:r>
      <w:r w:rsidRPr="008D5694">
        <w:rPr>
          <w:bCs/>
          <w:sz w:val="28"/>
          <w:szCs w:val="28"/>
        </w:rPr>
        <w:t xml:space="preserve"> quy định tại khoản 2 Điều 6 T</w:t>
      </w:r>
      <w:r w:rsidRPr="008D5694">
        <w:rPr>
          <w:bCs/>
          <w:sz w:val="28"/>
          <w:szCs w:val="28"/>
          <w:lang w:val="vi-VN"/>
        </w:rPr>
        <w:t>hông tư</w:t>
      </w:r>
      <w:r w:rsidRPr="008D5694">
        <w:rPr>
          <w:bCs/>
          <w:sz w:val="28"/>
          <w:szCs w:val="28"/>
        </w:rPr>
        <w:t xml:space="preserve"> </w:t>
      </w:r>
      <w:r w:rsidR="00615012">
        <w:rPr>
          <w:bCs/>
          <w:sz w:val="28"/>
          <w:szCs w:val="28"/>
        </w:rPr>
        <w:t xml:space="preserve">số </w:t>
      </w:r>
      <w:r w:rsidRPr="008D5694">
        <w:rPr>
          <w:bCs/>
          <w:sz w:val="28"/>
          <w:szCs w:val="28"/>
        </w:rPr>
        <w:t>101/2018/TT</w:t>
      </w:r>
      <w:r w:rsidR="00930753">
        <w:rPr>
          <w:bCs/>
          <w:sz w:val="28"/>
          <w:szCs w:val="28"/>
        </w:rPr>
        <w:t>-</w:t>
      </w:r>
      <w:r w:rsidRPr="008D5694">
        <w:rPr>
          <w:bCs/>
          <w:sz w:val="28"/>
          <w:szCs w:val="28"/>
        </w:rPr>
        <w:t>BTC</w:t>
      </w:r>
      <w:r w:rsidRPr="008D5694">
        <w:rPr>
          <w:bCs/>
          <w:sz w:val="28"/>
          <w:szCs w:val="28"/>
          <w:lang w:val="vi-VN"/>
        </w:rPr>
        <w:t>.</w:t>
      </w:r>
    </w:p>
    <w:p w:rsidR="008D5694" w:rsidRPr="008D5694" w:rsidRDefault="008D5694" w:rsidP="007033FB">
      <w:pPr>
        <w:pStyle w:val="BodyText"/>
        <w:spacing w:before="80" w:after="80"/>
        <w:ind w:firstLine="709"/>
        <w:jc w:val="both"/>
        <w:rPr>
          <w:rFonts w:ascii="Times New Roman" w:hAnsi="Times New Roman"/>
          <w:bCs/>
          <w:sz w:val="28"/>
          <w:szCs w:val="28"/>
          <w:lang w:val="vi-VN"/>
        </w:rPr>
      </w:pPr>
      <w:r w:rsidRPr="008D5694">
        <w:rPr>
          <w:rFonts w:ascii="Times New Roman" w:hAnsi="Times New Roman"/>
          <w:bCs/>
          <w:sz w:val="28"/>
          <w:szCs w:val="28"/>
          <w:lang w:val="vi-VN"/>
        </w:rPr>
        <w:t>b</w:t>
      </w:r>
      <w:r w:rsidRPr="008D5694">
        <w:rPr>
          <w:rFonts w:ascii="Times New Roman" w:hAnsi="Times New Roman"/>
          <w:bCs/>
          <w:sz w:val="28"/>
          <w:szCs w:val="28"/>
        </w:rPr>
        <w:t>) Cho phép sử dụng ngân sách tỉnh thanh toán đối với những chi phí (tàu, xe, thuê chỗ ở) của người có công với cách mạng và thân nhân phát sinh (nếu có) trong thời gian được điều dưỡng</w:t>
      </w:r>
      <w:r w:rsidR="00C94D46">
        <w:rPr>
          <w:rFonts w:ascii="Times New Roman" w:hAnsi="Times New Roman"/>
          <w:bCs/>
          <w:sz w:val="28"/>
          <w:szCs w:val="28"/>
        </w:rPr>
        <w:t xml:space="preserve"> tập trung (ngoài thời gian đi, </w:t>
      </w:r>
      <w:r w:rsidRPr="008D5694">
        <w:rPr>
          <w:rFonts w:ascii="Times New Roman" w:hAnsi="Times New Roman"/>
          <w:bCs/>
          <w:sz w:val="28"/>
          <w:szCs w:val="28"/>
        </w:rPr>
        <w:t>về).</w:t>
      </w:r>
      <w:r w:rsidRPr="008D5694">
        <w:rPr>
          <w:rFonts w:ascii="Times New Roman" w:hAnsi="Times New Roman"/>
          <w:bCs/>
          <w:sz w:val="28"/>
          <w:szCs w:val="28"/>
          <w:lang w:val="vi-VN"/>
        </w:rPr>
        <w:t xml:space="preserve"> </w:t>
      </w:r>
    </w:p>
    <w:p w:rsidR="008D5694" w:rsidRPr="008D5694" w:rsidRDefault="008D5694" w:rsidP="007033FB">
      <w:pPr>
        <w:spacing w:before="80" w:after="80"/>
        <w:ind w:firstLine="709"/>
        <w:jc w:val="both"/>
        <w:rPr>
          <w:sz w:val="28"/>
          <w:szCs w:val="28"/>
        </w:rPr>
      </w:pPr>
      <w:r w:rsidRPr="008D5694">
        <w:rPr>
          <w:bCs/>
          <w:sz w:val="28"/>
          <w:szCs w:val="28"/>
          <w:lang w:val="nl-NL"/>
        </w:rPr>
        <w:t>3.</w:t>
      </w:r>
      <w:r w:rsidRPr="008D5694">
        <w:rPr>
          <w:sz w:val="28"/>
          <w:szCs w:val="28"/>
          <w:lang w:val="nl-NL"/>
        </w:rPr>
        <w:t xml:space="preserve"> </w:t>
      </w:r>
      <w:r w:rsidRPr="008D5694">
        <w:rPr>
          <w:sz w:val="28"/>
          <w:szCs w:val="28"/>
          <w:lang w:val="vi-VN"/>
        </w:rPr>
        <w:t>Nguồn k</w:t>
      </w:r>
      <w:r w:rsidRPr="008D5694">
        <w:rPr>
          <w:sz w:val="28"/>
          <w:szCs w:val="28"/>
          <w:lang w:val="nl-NL"/>
        </w:rPr>
        <w:t>inh phí thực hiện:</w:t>
      </w:r>
      <w:r w:rsidRPr="008D5694">
        <w:rPr>
          <w:sz w:val="28"/>
          <w:szCs w:val="28"/>
        </w:rPr>
        <w:t xml:space="preserve"> T</w:t>
      </w:r>
      <w:r w:rsidRPr="008D5694">
        <w:rPr>
          <w:sz w:val="28"/>
          <w:szCs w:val="28"/>
          <w:lang w:val="vi-VN"/>
        </w:rPr>
        <w:t>ừ nguồn ngân sách tỉnh</w:t>
      </w:r>
      <w:bookmarkEnd w:id="2"/>
      <w:r w:rsidR="00F75066">
        <w:rPr>
          <w:sz w:val="28"/>
          <w:szCs w:val="28"/>
          <w:lang w:val="nl-NL"/>
        </w:rPr>
        <w:t xml:space="preserve"> hàng năm chi sự nghiệp đảm bảo xã hội.</w:t>
      </w:r>
    </w:p>
    <w:p w:rsidR="008D5694" w:rsidRPr="008D5694" w:rsidRDefault="008D5694" w:rsidP="007033FB">
      <w:pPr>
        <w:spacing w:before="80" w:after="80"/>
        <w:ind w:firstLine="709"/>
        <w:jc w:val="both"/>
        <w:rPr>
          <w:sz w:val="28"/>
          <w:szCs w:val="28"/>
          <w:lang w:val="vi-VN"/>
        </w:rPr>
      </w:pPr>
      <w:r w:rsidRPr="008D5694">
        <w:rPr>
          <w:b/>
          <w:sz w:val="28"/>
          <w:szCs w:val="28"/>
          <w:lang w:val="vi-VN"/>
        </w:rPr>
        <w:t xml:space="preserve">Điều 2. </w:t>
      </w:r>
      <w:r w:rsidRPr="008D5694">
        <w:rPr>
          <w:sz w:val="28"/>
          <w:szCs w:val="28"/>
          <w:lang w:val="vi-VN"/>
        </w:rPr>
        <w:t xml:space="preserve">Giao Ủy ban nhân dân tỉnh </w:t>
      </w:r>
      <w:r w:rsidR="002A2C02">
        <w:rPr>
          <w:sz w:val="28"/>
          <w:szCs w:val="28"/>
        </w:rPr>
        <w:t>tổ chức</w:t>
      </w:r>
      <w:r w:rsidRPr="008D5694">
        <w:rPr>
          <w:sz w:val="28"/>
          <w:szCs w:val="28"/>
        </w:rPr>
        <w:t xml:space="preserve"> thực hiện</w:t>
      </w:r>
      <w:r w:rsidRPr="008D5694">
        <w:rPr>
          <w:sz w:val="28"/>
          <w:szCs w:val="28"/>
          <w:lang w:val="vi-VN"/>
        </w:rPr>
        <w:t xml:space="preserve"> </w:t>
      </w:r>
      <w:r w:rsidR="002A2C02">
        <w:rPr>
          <w:sz w:val="28"/>
          <w:szCs w:val="28"/>
        </w:rPr>
        <w:t xml:space="preserve">Điều 1 </w:t>
      </w:r>
      <w:r w:rsidRPr="008D5694">
        <w:rPr>
          <w:sz w:val="28"/>
          <w:szCs w:val="28"/>
          <w:lang w:val="vi-VN"/>
        </w:rPr>
        <w:t>Nghị quyết này.</w:t>
      </w:r>
    </w:p>
    <w:p w:rsidR="00AA401E" w:rsidRDefault="008D5694" w:rsidP="007033FB">
      <w:pPr>
        <w:spacing w:before="80" w:after="80"/>
        <w:ind w:firstLine="709"/>
        <w:jc w:val="both"/>
        <w:rPr>
          <w:sz w:val="28"/>
          <w:szCs w:val="28"/>
        </w:rPr>
      </w:pPr>
      <w:r w:rsidRPr="008D5694">
        <w:rPr>
          <w:b/>
          <w:sz w:val="28"/>
          <w:szCs w:val="28"/>
          <w:lang w:val="vi-VN"/>
        </w:rPr>
        <w:t xml:space="preserve">Điều 3. </w:t>
      </w:r>
      <w:r w:rsidRPr="008D5694">
        <w:rPr>
          <w:sz w:val="28"/>
          <w:szCs w:val="28"/>
          <w:lang w:val="vi-VN"/>
        </w:rPr>
        <w:t>Nghị quyết này đã được Hội đồng n</w:t>
      </w:r>
      <w:r w:rsidR="00616152">
        <w:rPr>
          <w:sz w:val="28"/>
          <w:szCs w:val="28"/>
          <w:lang w:val="vi-VN"/>
        </w:rPr>
        <w:t>hân dân tỉnh An Giang khóa</w:t>
      </w:r>
      <w:r w:rsidR="00616152">
        <w:rPr>
          <w:sz w:val="28"/>
          <w:szCs w:val="28"/>
        </w:rPr>
        <w:t xml:space="preserve"> IX</w:t>
      </w:r>
      <w:r w:rsidR="00BE5F77">
        <w:rPr>
          <w:sz w:val="28"/>
          <w:szCs w:val="28"/>
        </w:rPr>
        <w:t>,</w:t>
      </w:r>
      <w:r w:rsidR="00616152">
        <w:rPr>
          <w:sz w:val="28"/>
          <w:szCs w:val="28"/>
          <w:lang w:val="vi-VN"/>
        </w:rPr>
        <w:t xml:space="preserve"> kỳ họp thứ 15 thông qua ngày</w:t>
      </w:r>
      <w:r w:rsidR="00616152">
        <w:rPr>
          <w:sz w:val="28"/>
          <w:szCs w:val="28"/>
        </w:rPr>
        <w:t xml:space="preserve"> 10</w:t>
      </w:r>
      <w:r w:rsidRPr="008D5694">
        <w:rPr>
          <w:sz w:val="28"/>
          <w:szCs w:val="28"/>
          <w:lang w:val="vi-VN"/>
        </w:rPr>
        <w:t xml:space="preserve"> tháng </w:t>
      </w:r>
      <w:r w:rsidR="00616152">
        <w:rPr>
          <w:sz w:val="28"/>
          <w:szCs w:val="28"/>
        </w:rPr>
        <w:t xml:space="preserve">7 </w:t>
      </w:r>
      <w:r w:rsidRPr="008D5694">
        <w:rPr>
          <w:sz w:val="28"/>
          <w:szCs w:val="28"/>
          <w:lang w:val="vi-VN"/>
        </w:rPr>
        <w:t>năm 2020</w:t>
      </w:r>
      <w:r w:rsidR="00616152">
        <w:rPr>
          <w:sz w:val="28"/>
          <w:szCs w:val="28"/>
        </w:rPr>
        <w:t xml:space="preserve"> và</w:t>
      </w:r>
      <w:r w:rsidR="00C21481">
        <w:rPr>
          <w:sz w:val="28"/>
          <w:szCs w:val="28"/>
          <w:lang w:val="vi-VN"/>
        </w:rPr>
        <w:t xml:space="preserve"> có hiệu </w:t>
      </w:r>
      <w:r w:rsidR="00C21481">
        <w:rPr>
          <w:sz w:val="28"/>
          <w:szCs w:val="28"/>
        </w:rPr>
        <w:t>l</w:t>
      </w:r>
      <w:r w:rsidR="00616152">
        <w:rPr>
          <w:sz w:val="28"/>
          <w:szCs w:val="28"/>
          <w:lang w:val="vi-VN"/>
        </w:rPr>
        <w:t>ực từ ngày</w:t>
      </w:r>
      <w:r w:rsidR="00616152">
        <w:rPr>
          <w:sz w:val="28"/>
          <w:szCs w:val="28"/>
        </w:rPr>
        <w:t xml:space="preserve"> 20</w:t>
      </w:r>
      <w:r w:rsidR="00616152">
        <w:rPr>
          <w:sz w:val="28"/>
          <w:szCs w:val="28"/>
          <w:lang w:val="vi-VN"/>
        </w:rPr>
        <w:t xml:space="preserve"> tháng</w:t>
      </w:r>
      <w:r w:rsidR="00616152">
        <w:rPr>
          <w:sz w:val="28"/>
          <w:szCs w:val="28"/>
        </w:rPr>
        <w:t xml:space="preserve"> 7</w:t>
      </w:r>
      <w:r w:rsidRPr="008D5694">
        <w:rPr>
          <w:sz w:val="28"/>
          <w:szCs w:val="28"/>
          <w:lang w:val="vi-VN"/>
        </w:rPr>
        <w:t xml:space="preserve"> năm 2020./.</w:t>
      </w:r>
    </w:p>
    <w:p w:rsidR="00117F1E" w:rsidRPr="000F5D12" w:rsidRDefault="00117F1E" w:rsidP="007E2391">
      <w:pPr>
        <w:ind w:firstLine="709"/>
        <w:jc w:val="both"/>
      </w:pPr>
    </w:p>
    <w:tbl>
      <w:tblPr>
        <w:tblW w:w="9889" w:type="dxa"/>
        <w:tblLayout w:type="fixed"/>
        <w:tblLook w:val="0000" w:firstRow="0" w:lastRow="0" w:firstColumn="0" w:lastColumn="0" w:noHBand="0" w:noVBand="0"/>
      </w:tblPr>
      <w:tblGrid>
        <w:gridCol w:w="5495"/>
        <w:gridCol w:w="4394"/>
      </w:tblGrid>
      <w:tr w:rsidR="00AA401E" w:rsidRPr="00060A30" w:rsidTr="00816082">
        <w:tc>
          <w:tcPr>
            <w:tcW w:w="5495" w:type="dxa"/>
          </w:tcPr>
          <w:p w:rsidR="00AA401E" w:rsidRPr="00060A30" w:rsidRDefault="00AA401E" w:rsidP="00816082">
            <w:pPr>
              <w:jc w:val="both"/>
              <w:rPr>
                <w:b/>
                <w:sz w:val="2"/>
                <w:lang w:val="nl-NL"/>
              </w:rPr>
            </w:pPr>
          </w:p>
          <w:p w:rsidR="00AA401E" w:rsidRPr="00060A30" w:rsidRDefault="00AA401E" w:rsidP="00816082">
            <w:pPr>
              <w:jc w:val="both"/>
              <w:rPr>
                <w:i/>
                <w:sz w:val="24"/>
                <w:szCs w:val="24"/>
                <w:lang w:val="nl-NL"/>
              </w:rPr>
            </w:pPr>
            <w:r w:rsidRPr="00060A30">
              <w:rPr>
                <w:b/>
                <w:i/>
                <w:sz w:val="24"/>
                <w:szCs w:val="24"/>
                <w:lang w:val="nl-NL"/>
              </w:rPr>
              <w:t>Nơi nhận:</w:t>
            </w:r>
            <w:r w:rsidRPr="00060A30">
              <w:rPr>
                <w:b/>
                <w:i/>
                <w:sz w:val="24"/>
                <w:szCs w:val="24"/>
                <w:lang w:val="nl-NL"/>
              </w:rPr>
              <w:tab/>
            </w:r>
            <w:r w:rsidRPr="00060A30">
              <w:rPr>
                <w:b/>
                <w:i/>
                <w:sz w:val="24"/>
                <w:szCs w:val="24"/>
                <w:lang w:val="nl-NL"/>
              </w:rPr>
              <w:tab/>
            </w:r>
            <w:r w:rsidRPr="00060A30">
              <w:rPr>
                <w:i/>
                <w:sz w:val="24"/>
                <w:szCs w:val="24"/>
                <w:lang w:val="nl-NL"/>
              </w:rPr>
              <w:t xml:space="preserve"> </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Ủy ban Thường vụ Quốc hội;</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Chính phủ;</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Ủy ban Trung ương MTTQ Việt Nam;</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Ban Công tác đại biểu - UBTVQH;</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Văn phòng Quốc hội;</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Văn phòng Chính phủ;</w:t>
            </w:r>
          </w:p>
          <w:p w:rsidR="00AA401E" w:rsidRPr="00060A30" w:rsidRDefault="00AA401E" w:rsidP="00AA401E">
            <w:pPr>
              <w:jc w:val="both"/>
              <w:rPr>
                <w:sz w:val="22"/>
                <w:szCs w:val="22"/>
              </w:rPr>
            </w:pPr>
            <w:r w:rsidRPr="00060A30">
              <w:rPr>
                <w:sz w:val="22"/>
                <w:szCs w:val="22"/>
              </w:rPr>
              <w:t>- Bộ Lao động - Thương binh và Xã hội;</w:t>
            </w:r>
          </w:p>
          <w:p w:rsidR="00771FF9" w:rsidRPr="00060A30" w:rsidRDefault="00771FF9" w:rsidP="00AA401E">
            <w:pPr>
              <w:jc w:val="both"/>
              <w:rPr>
                <w:sz w:val="22"/>
                <w:szCs w:val="22"/>
              </w:rPr>
            </w:pPr>
            <w:r w:rsidRPr="00060A30">
              <w:rPr>
                <w:sz w:val="22"/>
                <w:szCs w:val="22"/>
              </w:rPr>
              <w:t>- Bộ Tài chính;</w:t>
            </w:r>
          </w:p>
          <w:p w:rsidR="00F2783A" w:rsidRPr="00060A30" w:rsidRDefault="00F2783A" w:rsidP="00AA401E">
            <w:pPr>
              <w:jc w:val="both"/>
              <w:rPr>
                <w:sz w:val="22"/>
                <w:szCs w:val="22"/>
              </w:rPr>
            </w:pPr>
            <w:r w:rsidRPr="00060A30">
              <w:rPr>
                <w:sz w:val="22"/>
                <w:szCs w:val="22"/>
              </w:rPr>
              <w:t>- Bảo hiểm xã hội Việt Nam;</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Vụ Công tác Quốc hội, Địa phương và Đoàn thể - VPCP;</w:t>
            </w:r>
          </w:p>
          <w:p w:rsidR="00060A30" w:rsidRPr="00060A30" w:rsidRDefault="00AA401E" w:rsidP="00E210C9">
            <w:pPr>
              <w:pStyle w:val="BodyText"/>
              <w:spacing w:after="0"/>
              <w:rPr>
                <w:rFonts w:ascii="Times New Roman" w:hAnsi="Times New Roman"/>
                <w:sz w:val="22"/>
                <w:szCs w:val="22"/>
                <w:lang w:val="nb-NO"/>
              </w:rPr>
            </w:pPr>
            <w:r w:rsidRPr="00060A30">
              <w:rPr>
                <w:rFonts w:ascii="Times New Roman" w:hAnsi="Times New Roman"/>
                <w:sz w:val="22"/>
                <w:szCs w:val="22"/>
                <w:lang w:val="nb-NO"/>
              </w:rPr>
              <w:t>- Vụ Pháp chế</w:t>
            </w:r>
            <w:r w:rsidR="00E210C9" w:rsidRPr="00060A30">
              <w:rPr>
                <w:rFonts w:ascii="Times New Roman" w:hAnsi="Times New Roman"/>
                <w:sz w:val="22"/>
                <w:szCs w:val="22"/>
                <w:lang w:val="nb-NO"/>
              </w:rPr>
              <w:t>:</w:t>
            </w:r>
            <w:r w:rsidRPr="00060A30">
              <w:rPr>
                <w:rFonts w:ascii="Times New Roman" w:hAnsi="Times New Roman"/>
                <w:sz w:val="22"/>
                <w:szCs w:val="22"/>
                <w:lang w:val="nb-NO"/>
              </w:rPr>
              <w:t xml:space="preserve"> </w:t>
            </w:r>
            <w:r w:rsidRPr="00060A30">
              <w:rPr>
                <w:rFonts w:ascii="Times New Roman" w:hAnsi="Times New Roman"/>
                <w:sz w:val="22"/>
                <w:szCs w:val="22"/>
              </w:rPr>
              <w:t>Bộ Lao động - Thương binh và Xã hội</w:t>
            </w:r>
            <w:r w:rsidR="00060A30" w:rsidRPr="00060A30">
              <w:rPr>
                <w:rFonts w:ascii="Times New Roman" w:hAnsi="Times New Roman"/>
                <w:sz w:val="22"/>
                <w:szCs w:val="22"/>
                <w:lang w:val="nb-NO"/>
              </w:rPr>
              <w:t xml:space="preserve">, </w:t>
            </w:r>
          </w:p>
          <w:p w:rsidR="00055BC1" w:rsidRPr="00060A30" w:rsidRDefault="00060A30" w:rsidP="00E210C9">
            <w:pPr>
              <w:pStyle w:val="BodyText"/>
              <w:spacing w:after="0"/>
              <w:rPr>
                <w:rFonts w:ascii="Times New Roman" w:hAnsi="Times New Roman"/>
                <w:sz w:val="22"/>
                <w:szCs w:val="22"/>
                <w:lang w:val="nb-NO"/>
              </w:rPr>
            </w:pPr>
            <w:r w:rsidRPr="00060A30">
              <w:rPr>
                <w:rFonts w:ascii="Times New Roman" w:hAnsi="Times New Roman"/>
                <w:sz w:val="22"/>
                <w:szCs w:val="22"/>
                <w:lang w:val="nb-NO"/>
              </w:rPr>
              <w:t>Bộ Tài chính,</w:t>
            </w:r>
            <w:r w:rsidR="00055BC1" w:rsidRPr="00060A30">
              <w:rPr>
                <w:rFonts w:ascii="Times New Roman" w:hAnsi="Times New Roman"/>
                <w:sz w:val="22"/>
                <w:szCs w:val="22"/>
                <w:lang w:val="nb-NO"/>
              </w:rPr>
              <w:t xml:space="preserve"> Bảo hiểm xã hội Việt Nam;</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Kiểm toán Nhà nước Khu vực IX;</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Cục Kiểm tra văn bản - Bộ Tư pháp;</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Website Chính phủ;</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xml:space="preserve">- Thường trực: Tỉnh ủy, HĐND tỉnh; </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UBND tỉnh, Ban Thường trực Ủy ban MTTQVN tỉnh;</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Đoàn ĐBQH tỉnh;</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Đại biểu HĐND tỉnh;</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Các sở, ban, ngành, đoàn thể cấp tỉnh;</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Văn phòng: Tỉnh ủy, HĐND, UBND, UBMTTQVN tỉnh;</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Thường trực HĐND, UBND huyện, thị xã, thành phố;</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 Cơ quan thườ</w:t>
            </w:r>
            <w:r w:rsidR="00A8055C">
              <w:rPr>
                <w:rFonts w:ascii="Times New Roman" w:hAnsi="Times New Roman"/>
                <w:sz w:val="22"/>
                <w:szCs w:val="22"/>
                <w:lang w:val="nb-NO"/>
              </w:rPr>
              <w:t>ng trú TTXVN tại An Giang, Báo N</w:t>
            </w:r>
            <w:r w:rsidRPr="00060A30">
              <w:rPr>
                <w:rFonts w:ascii="Times New Roman" w:hAnsi="Times New Roman"/>
                <w:sz w:val="22"/>
                <w:szCs w:val="22"/>
                <w:lang w:val="nb-NO"/>
              </w:rPr>
              <w:t>hân dân</w:t>
            </w:r>
          </w:p>
          <w:p w:rsidR="00AA401E" w:rsidRPr="00060A30" w:rsidRDefault="00AA401E" w:rsidP="00816082">
            <w:pPr>
              <w:pStyle w:val="BodyText"/>
              <w:spacing w:after="0"/>
              <w:rPr>
                <w:rFonts w:ascii="Times New Roman" w:hAnsi="Times New Roman"/>
                <w:sz w:val="22"/>
                <w:szCs w:val="22"/>
                <w:lang w:val="nb-NO"/>
              </w:rPr>
            </w:pPr>
            <w:r w:rsidRPr="00060A30">
              <w:rPr>
                <w:rFonts w:ascii="Times New Roman" w:hAnsi="Times New Roman"/>
                <w:sz w:val="22"/>
                <w:szCs w:val="22"/>
                <w:lang w:val="nb-NO"/>
              </w:rPr>
              <w:t>tại An Giang, Truyền hình Quốc hội tại tỉnh Kiên Giang;</w:t>
            </w:r>
          </w:p>
          <w:p w:rsidR="00AA401E" w:rsidRPr="00060A30" w:rsidRDefault="00AA401E" w:rsidP="00816082">
            <w:pPr>
              <w:pStyle w:val="BodyText"/>
              <w:spacing w:after="0"/>
              <w:rPr>
                <w:rFonts w:ascii="Times New Roman" w:hAnsi="Times New Roman"/>
                <w:sz w:val="22"/>
                <w:szCs w:val="22"/>
              </w:rPr>
            </w:pPr>
            <w:r w:rsidRPr="00060A30">
              <w:rPr>
                <w:rFonts w:ascii="Times New Roman" w:hAnsi="Times New Roman"/>
                <w:sz w:val="22"/>
                <w:szCs w:val="22"/>
              </w:rPr>
              <w:t>- Báo An Giang, Đài Phát thanh - Truyền hình An Giang;</w:t>
            </w:r>
          </w:p>
          <w:p w:rsidR="00BB0208" w:rsidRPr="00060A30" w:rsidRDefault="00AA401E" w:rsidP="00816082">
            <w:pPr>
              <w:pStyle w:val="BodyText"/>
              <w:spacing w:after="0"/>
              <w:rPr>
                <w:rFonts w:ascii="Times New Roman" w:hAnsi="Times New Roman"/>
                <w:sz w:val="22"/>
                <w:szCs w:val="22"/>
              </w:rPr>
            </w:pPr>
            <w:r w:rsidRPr="00060A30">
              <w:rPr>
                <w:rFonts w:ascii="Times New Roman" w:hAnsi="Times New Roman"/>
                <w:sz w:val="22"/>
                <w:szCs w:val="22"/>
              </w:rPr>
              <w:t>- Website tỉnh, Trung tâm Công báo tỉnh;</w:t>
            </w:r>
            <w:r w:rsidR="00BB0208" w:rsidRPr="00060A30">
              <w:rPr>
                <w:rFonts w:ascii="Times New Roman" w:hAnsi="Times New Roman"/>
                <w:sz w:val="22"/>
                <w:szCs w:val="22"/>
              </w:rPr>
              <w:t xml:space="preserve"> </w:t>
            </w:r>
          </w:p>
          <w:p w:rsidR="00060A30" w:rsidRPr="00060A30" w:rsidRDefault="00BB0208" w:rsidP="00060A30">
            <w:pPr>
              <w:pStyle w:val="BodyText"/>
              <w:spacing w:after="0"/>
              <w:rPr>
                <w:rFonts w:ascii="Times New Roman" w:hAnsi="Times New Roman"/>
                <w:sz w:val="22"/>
                <w:szCs w:val="22"/>
              </w:rPr>
            </w:pPr>
            <w:r w:rsidRPr="00060A30">
              <w:rPr>
                <w:rFonts w:ascii="Times New Roman" w:hAnsi="Times New Roman"/>
                <w:sz w:val="22"/>
                <w:szCs w:val="22"/>
              </w:rPr>
              <w:t xml:space="preserve">- </w:t>
            </w:r>
            <w:r w:rsidR="00AA401E" w:rsidRPr="00060A30">
              <w:rPr>
                <w:rFonts w:ascii="Times New Roman" w:hAnsi="Times New Roman"/>
                <w:sz w:val="22"/>
                <w:szCs w:val="22"/>
              </w:rPr>
              <w:t>Cổng Thông tin điện tử Văn phòng HĐND tỉnh;</w:t>
            </w:r>
          </w:p>
          <w:p w:rsidR="00AA401E" w:rsidRPr="00060A30" w:rsidRDefault="00AA401E" w:rsidP="00060A30">
            <w:pPr>
              <w:pStyle w:val="BodyText"/>
              <w:spacing w:after="0"/>
              <w:rPr>
                <w:rFonts w:ascii="Times New Roman" w:hAnsi="Times New Roman"/>
                <w:sz w:val="22"/>
              </w:rPr>
            </w:pPr>
            <w:r w:rsidRPr="00060A30">
              <w:rPr>
                <w:rFonts w:ascii="Times New Roman" w:hAnsi="Times New Roman"/>
                <w:sz w:val="22"/>
                <w:szCs w:val="22"/>
              </w:rPr>
              <w:t>-</w:t>
            </w:r>
            <w:r w:rsidRPr="00060A30">
              <w:rPr>
                <w:rFonts w:ascii="Times New Roman" w:hAnsi="Times New Roman"/>
                <w:b/>
                <w:sz w:val="22"/>
                <w:szCs w:val="22"/>
              </w:rPr>
              <w:t xml:space="preserve"> </w:t>
            </w:r>
            <w:r w:rsidRPr="00060A30">
              <w:rPr>
                <w:rFonts w:ascii="Times New Roman" w:hAnsi="Times New Roman"/>
                <w:sz w:val="22"/>
                <w:szCs w:val="22"/>
              </w:rPr>
              <w:t>Lưu: VT, Phòng Tổng hợp</w:t>
            </w:r>
            <w:r w:rsidR="00AB45DA" w:rsidRPr="00060A30">
              <w:rPr>
                <w:rFonts w:ascii="Times New Roman" w:hAnsi="Times New Roman"/>
                <w:sz w:val="22"/>
                <w:szCs w:val="22"/>
              </w:rPr>
              <w:t>-P</w:t>
            </w:r>
            <w:r w:rsidRPr="00060A30">
              <w:rPr>
                <w:rFonts w:ascii="Times New Roman" w:hAnsi="Times New Roman"/>
                <w:sz w:val="22"/>
                <w:szCs w:val="22"/>
              </w:rPr>
              <w:t>.</w:t>
            </w:r>
          </w:p>
        </w:tc>
        <w:tc>
          <w:tcPr>
            <w:tcW w:w="4394" w:type="dxa"/>
          </w:tcPr>
          <w:p w:rsidR="00AA401E" w:rsidRPr="00060A30" w:rsidRDefault="00AA401E" w:rsidP="00816082">
            <w:pPr>
              <w:jc w:val="center"/>
              <w:rPr>
                <w:b/>
                <w:sz w:val="6"/>
              </w:rPr>
            </w:pPr>
          </w:p>
          <w:p w:rsidR="00AA401E" w:rsidRPr="00060A30" w:rsidRDefault="00AA401E" w:rsidP="00816082">
            <w:pPr>
              <w:jc w:val="center"/>
              <w:rPr>
                <w:b/>
                <w:sz w:val="28"/>
                <w:szCs w:val="28"/>
              </w:rPr>
            </w:pPr>
            <w:r w:rsidRPr="00060A30">
              <w:rPr>
                <w:b/>
                <w:sz w:val="28"/>
                <w:szCs w:val="28"/>
              </w:rPr>
              <w:t>CHỦ TỊCH</w:t>
            </w:r>
          </w:p>
          <w:p w:rsidR="00AA401E" w:rsidRPr="00060A30" w:rsidRDefault="00AA401E" w:rsidP="00816082">
            <w:pPr>
              <w:jc w:val="center"/>
              <w:rPr>
                <w:b/>
                <w:sz w:val="28"/>
                <w:szCs w:val="28"/>
              </w:rPr>
            </w:pPr>
          </w:p>
          <w:p w:rsidR="00AA401E" w:rsidRPr="00060A30" w:rsidRDefault="00AA401E" w:rsidP="00816082">
            <w:pPr>
              <w:jc w:val="center"/>
              <w:rPr>
                <w:b/>
                <w:sz w:val="28"/>
                <w:szCs w:val="28"/>
              </w:rPr>
            </w:pPr>
          </w:p>
          <w:p w:rsidR="00AA401E" w:rsidRPr="00060A30" w:rsidRDefault="00AA401E" w:rsidP="00816082">
            <w:pPr>
              <w:jc w:val="center"/>
              <w:rPr>
                <w:b/>
                <w:sz w:val="28"/>
                <w:szCs w:val="28"/>
              </w:rPr>
            </w:pPr>
          </w:p>
          <w:p w:rsidR="00AA401E" w:rsidRPr="00060A30" w:rsidRDefault="00AA401E" w:rsidP="00816082">
            <w:pPr>
              <w:jc w:val="center"/>
              <w:rPr>
                <w:b/>
                <w:sz w:val="28"/>
                <w:szCs w:val="28"/>
              </w:rPr>
            </w:pPr>
          </w:p>
          <w:p w:rsidR="00AA401E" w:rsidRPr="00060A30" w:rsidRDefault="00AA401E" w:rsidP="00816082">
            <w:pPr>
              <w:jc w:val="center"/>
              <w:rPr>
                <w:b/>
                <w:sz w:val="26"/>
              </w:rPr>
            </w:pPr>
            <w:r w:rsidRPr="00060A30">
              <w:rPr>
                <w:b/>
                <w:sz w:val="28"/>
                <w:szCs w:val="28"/>
              </w:rPr>
              <w:t>Võ Anh Kiệt</w:t>
            </w:r>
          </w:p>
          <w:p w:rsidR="00AA401E" w:rsidRPr="00060A30" w:rsidRDefault="00AA401E" w:rsidP="00816082">
            <w:pPr>
              <w:rPr>
                <w:b/>
                <w:sz w:val="28"/>
                <w:szCs w:val="28"/>
              </w:rPr>
            </w:pPr>
            <w:r w:rsidRPr="00060A30">
              <w:rPr>
                <w:sz w:val="26"/>
              </w:rPr>
              <w:t xml:space="preserve">                </w:t>
            </w:r>
          </w:p>
          <w:p w:rsidR="00AA401E" w:rsidRPr="00060A30" w:rsidRDefault="00AA401E" w:rsidP="00816082">
            <w:pPr>
              <w:rPr>
                <w:b/>
                <w:sz w:val="28"/>
                <w:szCs w:val="28"/>
              </w:rPr>
            </w:pPr>
          </w:p>
          <w:p w:rsidR="00AA401E" w:rsidRPr="00060A30" w:rsidRDefault="00AA401E" w:rsidP="00816082">
            <w:pPr>
              <w:rPr>
                <w:b/>
                <w:sz w:val="28"/>
                <w:szCs w:val="28"/>
              </w:rPr>
            </w:pPr>
          </w:p>
          <w:p w:rsidR="00AA401E" w:rsidRPr="00060A30" w:rsidRDefault="00AA401E" w:rsidP="00816082">
            <w:pPr>
              <w:rPr>
                <w:b/>
                <w:sz w:val="28"/>
                <w:szCs w:val="28"/>
              </w:rPr>
            </w:pPr>
          </w:p>
          <w:p w:rsidR="00AA401E" w:rsidRPr="00060A30" w:rsidRDefault="00AA401E" w:rsidP="00816082">
            <w:pPr>
              <w:rPr>
                <w:sz w:val="26"/>
              </w:rPr>
            </w:pPr>
          </w:p>
        </w:tc>
      </w:tr>
    </w:tbl>
    <w:p w:rsidR="007977BC" w:rsidRDefault="005F1981" w:rsidP="000F66B6"/>
    <w:sectPr w:rsidR="007977BC" w:rsidSect="00060A30">
      <w:headerReference w:type="default" r:id="rId7"/>
      <w:footerReference w:type="default" r:id="rId8"/>
      <w:pgSz w:w="11907" w:h="16840" w:code="9"/>
      <w:pgMar w:top="993" w:right="964" w:bottom="142" w:left="1588" w:header="567" w:footer="2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981" w:rsidRDefault="005F1981">
      <w:r>
        <w:separator/>
      </w:r>
    </w:p>
  </w:endnote>
  <w:endnote w:type="continuationSeparator" w:id="0">
    <w:p w:rsidR="005F1981" w:rsidRDefault="005F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07" w:rsidRPr="00994907" w:rsidRDefault="005F1981">
    <w:pPr>
      <w:pStyle w:val="Footer"/>
      <w:jc w:val="right"/>
      <w:rPr>
        <w:sz w:val="24"/>
        <w:szCs w:val="24"/>
      </w:rPr>
    </w:pPr>
  </w:p>
  <w:p w:rsidR="00994907" w:rsidRDefault="005F1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981" w:rsidRDefault="005F1981">
      <w:r>
        <w:separator/>
      </w:r>
    </w:p>
  </w:footnote>
  <w:footnote w:type="continuationSeparator" w:id="0">
    <w:p w:rsidR="005F1981" w:rsidRDefault="005F1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1170"/>
      <w:docPartObj>
        <w:docPartGallery w:val="Page Numbers (Top of Page)"/>
        <w:docPartUnique/>
      </w:docPartObj>
    </w:sdtPr>
    <w:sdtEndPr>
      <w:rPr>
        <w:noProof/>
        <w:sz w:val="26"/>
        <w:szCs w:val="26"/>
      </w:rPr>
    </w:sdtEndPr>
    <w:sdtContent>
      <w:p w:rsidR="001047B1" w:rsidRPr="0095002F" w:rsidRDefault="00B15F2B">
        <w:pPr>
          <w:pStyle w:val="Header"/>
          <w:jc w:val="center"/>
          <w:rPr>
            <w:sz w:val="26"/>
            <w:szCs w:val="26"/>
          </w:rPr>
        </w:pPr>
        <w:r w:rsidRPr="0095002F">
          <w:rPr>
            <w:sz w:val="26"/>
            <w:szCs w:val="26"/>
          </w:rPr>
          <w:fldChar w:fldCharType="begin"/>
        </w:r>
        <w:r w:rsidRPr="0095002F">
          <w:rPr>
            <w:sz w:val="26"/>
            <w:szCs w:val="26"/>
          </w:rPr>
          <w:instrText xml:space="preserve"> PAGE   \* MERGEFORMAT </w:instrText>
        </w:r>
        <w:r w:rsidRPr="0095002F">
          <w:rPr>
            <w:sz w:val="26"/>
            <w:szCs w:val="26"/>
          </w:rPr>
          <w:fldChar w:fldCharType="separate"/>
        </w:r>
        <w:r w:rsidR="006658A1">
          <w:rPr>
            <w:noProof/>
            <w:sz w:val="26"/>
            <w:szCs w:val="26"/>
          </w:rPr>
          <w:t>2</w:t>
        </w:r>
        <w:r w:rsidRPr="0095002F">
          <w:rPr>
            <w:noProof/>
            <w:sz w:val="26"/>
            <w:szCs w:val="26"/>
          </w:rPr>
          <w:fldChar w:fldCharType="end"/>
        </w:r>
      </w:p>
    </w:sdtContent>
  </w:sdt>
  <w:p w:rsidR="00F25E0E" w:rsidRDefault="005F1981" w:rsidP="000C194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0C"/>
    <w:rsid w:val="00055BC1"/>
    <w:rsid w:val="00060A30"/>
    <w:rsid w:val="0006760F"/>
    <w:rsid w:val="00096FA8"/>
    <w:rsid w:val="000F5CA7"/>
    <w:rsid w:val="000F5D12"/>
    <w:rsid w:val="000F66B6"/>
    <w:rsid w:val="001114D0"/>
    <w:rsid w:val="00117F1E"/>
    <w:rsid w:val="00137D62"/>
    <w:rsid w:val="00170D37"/>
    <w:rsid w:val="00181160"/>
    <w:rsid w:val="001B7262"/>
    <w:rsid w:val="001F410C"/>
    <w:rsid w:val="00207A9F"/>
    <w:rsid w:val="00215B0B"/>
    <w:rsid w:val="00232B23"/>
    <w:rsid w:val="002458FB"/>
    <w:rsid w:val="002522C1"/>
    <w:rsid w:val="00261DFB"/>
    <w:rsid w:val="002A2C02"/>
    <w:rsid w:val="002D236E"/>
    <w:rsid w:val="002D2881"/>
    <w:rsid w:val="002E6DA7"/>
    <w:rsid w:val="002F1DAF"/>
    <w:rsid w:val="0035431B"/>
    <w:rsid w:val="0037739D"/>
    <w:rsid w:val="003B73B1"/>
    <w:rsid w:val="003C2715"/>
    <w:rsid w:val="003F40C7"/>
    <w:rsid w:val="00406FEB"/>
    <w:rsid w:val="004679A8"/>
    <w:rsid w:val="004B5CB5"/>
    <w:rsid w:val="00533A32"/>
    <w:rsid w:val="00540D95"/>
    <w:rsid w:val="00553567"/>
    <w:rsid w:val="0057746A"/>
    <w:rsid w:val="005F1981"/>
    <w:rsid w:val="00615012"/>
    <w:rsid w:val="00616152"/>
    <w:rsid w:val="006270D4"/>
    <w:rsid w:val="006278EB"/>
    <w:rsid w:val="00633FC9"/>
    <w:rsid w:val="006658A1"/>
    <w:rsid w:val="0068632E"/>
    <w:rsid w:val="0068708E"/>
    <w:rsid w:val="006A4D72"/>
    <w:rsid w:val="006B6E3C"/>
    <w:rsid w:val="006D6486"/>
    <w:rsid w:val="006F3D20"/>
    <w:rsid w:val="006F3D3A"/>
    <w:rsid w:val="007033FB"/>
    <w:rsid w:val="00722BE4"/>
    <w:rsid w:val="0075354D"/>
    <w:rsid w:val="00771FF9"/>
    <w:rsid w:val="0078227A"/>
    <w:rsid w:val="007A09A7"/>
    <w:rsid w:val="007A5075"/>
    <w:rsid w:val="007E2391"/>
    <w:rsid w:val="00854E6A"/>
    <w:rsid w:val="008650CF"/>
    <w:rsid w:val="00886726"/>
    <w:rsid w:val="008D5694"/>
    <w:rsid w:val="008E1357"/>
    <w:rsid w:val="008F4622"/>
    <w:rsid w:val="00930753"/>
    <w:rsid w:val="0095002F"/>
    <w:rsid w:val="00990E3B"/>
    <w:rsid w:val="00A02C42"/>
    <w:rsid w:val="00A8055C"/>
    <w:rsid w:val="00AA401E"/>
    <w:rsid w:val="00AB45DA"/>
    <w:rsid w:val="00B02638"/>
    <w:rsid w:val="00B15F2B"/>
    <w:rsid w:val="00BB0208"/>
    <w:rsid w:val="00BB5607"/>
    <w:rsid w:val="00BB6F88"/>
    <w:rsid w:val="00BD7F08"/>
    <w:rsid w:val="00BE5F77"/>
    <w:rsid w:val="00C21481"/>
    <w:rsid w:val="00C24058"/>
    <w:rsid w:val="00C358C4"/>
    <w:rsid w:val="00C94D46"/>
    <w:rsid w:val="00CB092A"/>
    <w:rsid w:val="00CE57F2"/>
    <w:rsid w:val="00D178AD"/>
    <w:rsid w:val="00D25541"/>
    <w:rsid w:val="00DB707A"/>
    <w:rsid w:val="00E007E1"/>
    <w:rsid w:val="00E20F26"/>
    <w:rsid w:val="00E210C9"/>
    <w:rsid w:val="00E27008"/>
    <w:rsid w:val="00E52387"/>
    <w:rsid w:val="00E65306"/>
    <w:rsid w:val="00EA194B"/>
    <w:rsid w:val="00F07F6B"/>
    <w:rsid w:val="00F2783A"/>
    <w:rsid w:val="00F51CED"/>
    <w:rsid w:val="00F75066"/>
    <w:rsid w:val="00F82CA1"/>
    <w:rsid w:val="00F82E56"/>
    <w:rsid w:val="00FC471D"/>
    <w:rsid w:val="00FE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10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rsid w:val="001F410C"/>
    <w:pPr>
      <w:keepNext/>
      <w:ind w:left="-108" w:firstLine="108"/>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410C"/>
    <w:rPr>
      <w:rFonts w:ascii="Times New Roman" w:eastAsia="Times New Roman" w:hAnsi="Times New Roman" w:cs="Times New Roman"/>
      <w:sz w:val="28"/>
      <w:szCs w:val="20"/>
    </w:rPr>
  </w:style>
  <w:style w:type="paragraph" w:styleId="BodyTextIndent">
    <w:name w:val="Body Text Indent"/>
    <w:basedOn w:val="Normal"/>
    <w:link w:val="BodyTextIndentChar"/>
    <w:rsid w:val="001F410C"/>
    <w:pPr>
      <w:ind w:firstLine="720"/>
      <w:jc w:val="both"/>
    </w:pPr>
    <w:rPr>
      <w:sz w:val="28"/>
      <w:lang w:val="x-none" w:eastAsia="x-none"/>
    </w:rPr>
  </w:style>
  <w:style w:type="character" w:customStyle="1" w:styleId="BodyTextIndentChar">
    <w:name w:val="Body Text Indent Char"/>
    <w:basedOn w:val="DefaultParagraphFont"/>
    <w:link w:val="BodyTextIndent"/>
    <w:rsid w:val="001F410C"/>
    <w:rPr>
      <w:rFonts w:ascii="Times New Roman" w:eastAsia="Times New Roman" w:hAnsi="Times New Roman" w:cs="Times New Roman"/>
      <w:sz w:val="28"/>
      <w:szCs w:val="20"/>
      <w:lang w:val="x-none" w:eastAsia="x-none"/>
    </w:rPr>
  </w:style>
  <w:style w:type="paragraph" w:styleId="Header">
    <w:name w:val="header"/>
    <w:basedOn w:val="Normal"/>
    <w:link w:val="HeaderChar"/>
    <w:uiPriority w:val="99"/>
    <w:rsid w:val="001F410C"/>
    <w:pPr>
      <w:tabs>
        <w:tab w:val="center" w:pos="4320"/>
        <w:tab w:val="right" w:pos="8640"/>
      </w:tabs>
    </w:pPr>
  </w:style>
  <w:style w:type="character" w:customStyle="1" w:styleId="HeaderChar">
    <w:name w:val="Header Char"/>
    <w:basedOn w:val="DefaultParagraphFont"/>
    <w:link w:val="Header"/>
    <w:uiPriority w:val="99"/>
    <w:rsid w:val="001F410C"/>
    <w:rPr>
      <w:rFonts w:ascii="Times New Roman" w:eastAsia="Times New Roman" w:hAnsi="Times New Roman" w:cs="Times New Roman"/>
      <w:sz w:val="20"/>
      <w:szCs w:val="20"/>
    </w:rPr>
  </w:style>
  <w:style w:type="paragraph" w:styleId="Footer">
    <w:name w:val="footer"/>
    <w:basedOn w:val="Normal"/>
    <w:link w:val="FooterChar"/>
    <w:uiPriority w:val="99"/>
    <w:rsid w:val="001F410C"/>
    <w:pPr>
      <w:tabs>
        <w:tab w:val="center" w:pos="4320"/>
        <w:tab w:val="right" w:pos="8640"/>
      </w:tabs>
    </w:pPr>
  </w:style>
  <w:style w:type="character" w:customStyle="1" w:styleId="FooterChar">
    <w:name w:val="Footer Char"/>
    <w:basedOn w:val="DefaultParagraphFont"/>
    <w:link w:val="Footer"/>
    <w:uiPriority w:val="99"/>
    <w:rsid w:val="001F410C"/>
    <w:rPr>
      <w:rFonts w:ascii="Times New Roman" w:eastAsia="Times New Roman" w:hAnsi="Times New Roman" w:cs="Times New Roman"/>
      <w:sz w:val="20"/>
      <w:szCs w:val="20"/>
    </w:rPr>
  </w:style>
  <w:style w:type="paragraph" w:styleId="NormalWeb">
    <w:name w:val="Normal (Web)"/>
    <w:basedOn w:val="Normal"/>
    <w:link w:val="NormalWebChar"/>
    <w:rsid w:val="001F410C"/>
    <w:pPr>
      <w:spacing w:before="100" w:after="100"/>
    </w:pPr>
    <w:rPr>
      <w:sz w:val="24"/>
      <w:szCs w:val="24"/>
    </w:rPr>
  </w:style>
  <w:style w:type="character" w:customStyle="1" w:styleId="NormalWebChar">
    <w:name w:val="Normal (Web) Char"/>
    <w:link w:val="NormalWeb"/>
    <w:uiPriority w:val="99"/>
    <w:locked/>
    <w:rsid w:val="001F410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A401E"/>
    <w:pPr>
      <w:spacing w:after="120"/>
    </w:pPr>
    <w:rPr>
      <w:rFonts w:ascii=".VnTime" w:hAnsi=".VnTime"/>
      <w:sz w:val="24"/>
      <w:szCs w:val="24"/>
    </w:rPr>
  </w:style>
  <w:style w:type="character" w:customStyle="1" w:styleId="BodyTextChar">
    <w:name w:val="Body Text Char"/>
    <w:basedOn w:val="DefaultParagraphFont"/>
    <w:link w:val="BodyText"/>
    <w:uiPriority w:val="99"/>
    <w:rsid w:val="00AA401E"/>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BB6F88"/>
    <w:rPr>
      <w:rFonts w:ascii="Tahoma" w:hAnsi="Tahoma" w:cs="Tahoma"/>
      <w:sz w:val="16"/>
      <w:szCs w:val="16"/>
    </w:rPr>
  </w:style>
  <w:style w:type="character" w:customStyle="1" w:styleId="BalloonTextChar">
    <w:name w:val="Balloon Text Char"/>
    <w:basedOn w:val="DefaultParagraphFont"/>
    <w:link w:val="BalloonText"/>
    <w:uiPriority w:val="99"/>
    <w:semiHidden/>
    <w:rsid w:val="00BB6F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10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rsid w:val="001F410C"/>
    <w:pPr>
      <w:keepNext/>
      <w:ind w:left="-108" w:firstLine="108"/>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410C"/>
    <w:rPr>
      <w:rFonts w:ascii="Times New Roman" w:eastAsia="Times New Roman" w:hAnsi="Times New Roman" w:cs="Times New Roman"/>
      <w:sz w:val="28"/>
      <w:szCs w:val="20"/>
    </w:rPr>
  </w:style>
  <w:style w:type="paragraph" w:styleId="BodyTextIndent">
    <w:name w:val="Body Text Indent"/>
    <w:basedOn w:val="Normal"/>
    <w:link w:val="BodyTextIndentChar"/>
    <w:rsid w:val="001F410C"/>
    <w:pPr>
      <w:ind w:firstLine="720"/>
      <w:jc w:val="both"/>
    </w:pPr>
    <w:rPr>
      <w:sz w:val="28"/>
      <w:lang w:val="x-none" w:eastAsia="x-none"/>
    </w:rPr>
  </w:style>
  <w:style w:type="character" w:customStyle="1" w:styleId="BodyTextIndentChar">
    <w:name w:val="Body Text Indent Char"/>
    <w:basedOn w:val="DefaultParagraphFont"/>
    <w:link w:val="BodyTextIndent"/>
    <w:rsid w:val="001F410C"/>
    <w:rPr>
      <w:rFonts w:ascii="Times New Roman" w:eastAsia="Times New Roman" w:hAnsi="Times New Roman" w:cs="Times New Roman"/>
      <w:sz w:val="28"/>
      <w:szCs w:val="20"/>
      <w:lang w:val="x-none" w:eastAsia="x-none"/>
    </w:rPr>
  </w:style>
  <w:style w:type="paragraph" w:styleId="Header">
    <w:name w:val="header"/>
    <w:basedOn w:val="Normal"/>
    <w:link w:val="HeaderChar"/>
    <w:uiPriority w:val="99"/>
    <w:rsid w:val="001F410C"/>
    <w:pPr>
      <w:tabs>
        <w:tab w:val="center" w:pos="4320"/>
        <w:tab w:val="right" w:pos="8640"/>
      </w:tabs>
    </w:pPr>
  </w:style>
  <w:style w:type="character" w:customStyle="1" w:styleId="HeaderChar">
    <w:name w:val="Header Char"/>
    <w:basedOn w:val="DefaultParagraphFont"/>
    <w:link w:val="Header"/>
    <w:uiPriority w:val="99"/>
    <w:rsid w:val="001F410C"/>
    <w:rPr>
      <w:rFonts w:ascii="Times New Roman" w:eastAsia="Times New Roman" w:hAnsi="Times New Roman" w:cs="Times New Roman"/>
      <w:sz w:val="20"/>
      <w:szCs w:val="20"/>
    </w:rPr>
  </w:style>
  <w:style w:type="paragraph" w:styleId="Footer">
    <w:name w:val="footer"/>
    <w:basedOn w:val="Normal"/>
    <w:link w:val="FooterChar"/>
    <w:uiPriority w:val="99"/>
    <w:rsid w:val="001F410C"/>
    <w:pPr>
      <w:tabs>
        <w:tab w:val="center" w:pos="4320"/>
        <w:tab w:val="right" w:pos="8640"/>
      </w:tabs>
    </w:pPr>
  </w:style>
  <w:style w:type="character" w:customStyle="1" w:styleId="FooterChar">
    <w:name w:val="Footer Char"/>
    <w:basedOn w:val="DefaultParagraphFont"/>
    <w:link w:val="Footer"/>
    <w:uiPriority w:val="99"/>
    <w:rsid w:val="001F410C"/>
    <w:rPr>
      <w:rFonts w:ascii="Times New Roman" w:eastAsia="Times New Roman" w:hAnsi="Times New Roman" w:cs="Times New Roman"/>
      <w:sz w:val="20"/>
      <w:szCs w:val="20"/>
    </w:rPr>
  </w:style>
  <w:style w:type="paragraph" w:styleId="NormalWeb">
    <w:name w:val="Normal (Web)"/>
    <w:basedOn w:val="Normal"/>
    <w:link w:val="NormalWebChar"/>
    <w:rsid w:val="001F410C"/>
    <w:pPr>
      <w:spacing w:before="100" w:after="100"/>
    </w:pPr>
    <w:rPr>
      <w:sz w:val="24"/>
      <w:szCs w:val="24"/>
    </w:rPr>
  </w:style>
  <w:style w:type="character" w:customStyle="1" w:styleId="NormalWebChar">
    <w:name w:val="Normal (Web) Char"/>
    <w:link w:val="NormalWeb"/>
    <w:uiPriority w:val="99"/>
    <w:locked/>
    <w:rsid w:val="001F410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A401E"/>
    <w:pPr>
      <w:spacing w:after="120"/>
    </w:pPr>
    <w:rPr>
      <w:rFonts w:ascii=".VnTime" w:hAnsi=".VnTime"/>
      <w:sz w:val="24"/>
      <w:szCs w:val="24"/>
    </w:rPr>
  </w:style>
  <w:style w:type="character" w:customStyle="1" w:styleId="BodyTextChar">
    <w:name w:val="Body Text Char"/>
    <w:basedOn w:val="DefaultParagraphFont"/>
    <w:link w:val="BodyText"/>
    <w:uiPriority w:val="99"/>
    <w:rsid w:val="00AA401E"/>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BB6F88"/>
    <w:rPr>
      <w:rFonts w:ascii="Tahoma" w:hAnsi="Tahoma" w:cs="Tahoma"/>
      <w:sz w:val="16"/>
      <w:szCs w:val="16"/>
    </w:rPr>
  </w:style>
  <w:style w:type="character" w:customStyle="1" w:styleId="BalloonTextChar">
    <w:name w:val="Balloon Text Char"/>
    <w:basedOn w:val="DefaultParagraphFont"/>
    <w:link w:val="BalloonText"/>
    <w:uiPriority w:val="99"/>
    <w:semiHidden/>
    <w:rsid w:val="00BB6F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2B0F7-EB8D-4512-91A1-FF26999101CC}"/>
</file>

<file path=customXml/itemProps2.xml><?xml version="1.0" encoding="utf-8"?>
<ds:datastoreItem xmlns:ds="http://schemas.openxmlformats.org/officeDocument/2006/customXml" ds:itemID="{9B9BBBF2-9DF0-49EE-9CDD-5ECE5A76770D}"/>
</file>

<file path=customXml/itemProps3.xml><?xml version="1.0" encoding="utf-8"?>
<ds:datastoreItem xmlns:ds="http://schemas.openxmlformats.org/officeDocument/2006/customXml" ds:itemID="{B7026240-4D30-4A18-9346-0671C7A4982B}"/>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cp:lastPrinted>2020-07-13T00:53:00Z</cp:lastPrinted>
  <dcterms:created xsi:type="dcterms:W3CDTF">2020-07-22T09:08:00Z</dcterms:created>
  <dcterms:modified xsi:type="dcterms:W3CDTF">2020-07-22T09:08:00Z</dcterms:modified>
</cp:coreProperties>
</file>