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92087F"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92087F">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DF28CB">
              <w:rPr>
                <w:rFonts w:ascii="TimesNewRomanPSMT" w:eastAsia="Times New Roman" w:hAnsi="TimesNewRomanPSMT" w:cs="Times New Roman"/>
                <w:color w:val="000000"/>
              </w:rPr>
              <w:t>0</w:t>
            </w:r>
            <w:r w:rsidR="0092087F">
              <w:rPr>
                <w:rFonts w:ascii="TimesNewRomanPSMT" w:eastAsia="Times New Roman" w:hAnsi="TimesNewRomanPSMT" w:cs="Times New Roman"/>
                <w:color w:val="000000"/>
              </w:rPr>
              <w:t>2</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92087F"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DF28CB">
              <w:rPr>
                <w:rFonts w:ascii="TimesNewRomanPS-ItalicMT" w:eastAsia="Times New Roman" w:hAnsi="TimesNewRomanPS-ItalicMT" w:cs="Times New Roman"/>
                <w:i/>
                <w:iCs/>
                <w:color w:val="000000"/>
              </w:rPr>
              <w:t>01</w:t>
            </w:r>
            <w:r w:rsidRPr="00A70CCE">
              <w:rPr>
                <w:rFonts w:ascii="TimesNewRomanPS-ItalicMT" w:eastAsia="Times New Roman" w:hAnsi="TimesNewRomanPS-ItalicMT" w:cs="Times New Roman"/>
                <w:i/>
                <w:iCs/>
                <w:color w:val="000000"/>
              </w:rPr>
              <w:t xml:space="preserve"> tháng </w:t>
            </w:r>
            <w:r w:rsidR="00DF28CB">
              <w:rPr>
                <w:rFonts w:ascii="TimesNewRomanPS-ItalicMT" w:eastAsia="Times New Roman" w:hAnsi="TimesNewRomanPS-ItalicMT" w:cs="Times New Roman"/>
                <w:i/>
                <w:iCs/>
                <w:color w:val="000000"/>
              </w:rPr>
              <w:t>3</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Pr="00A70CCE" w:rsidRDefault="00A70CCE" w:rsidP="00A70CCE">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A70CCE" w:rsidRPr="00B325ED" w:rsidRDefault="00B325ED" w:rsidP="00B325ED">
      <w:pPr>
        <w:spacing w:after="0" w:line="240" w:lineRule="auto"/>
        <w:jc w:val="center"/>
        <w:rPr>
          <w:rFonts w:ascii="TimesNewRomanPS-BoldMT" w:eastAsia="Times New Roman" w:hAnsi="TimesNewRomanPS-BoldMT" w:cs="Times New Roman"/>
          <w:b/>
          <w:bCs/>
          <w:color w:val="000000"/>
          <w:szCs w:val="28"/>
        </w:rPr>
      </w:pPr>
      <w:r w:rsidRPr="00B325ED">
        <w:rPr>
          <w:rStyle w:val="fontstyle01"/>
          <w:sz w:val="28"/>
          <w:szCs w:val="28"/>
        </w:rPr>
        <w:t>Quy định một số mức chi thực hiện công tác phổ biến, giáo dục pháp luật, chuẩn tiếp cận pháp luật và hòa giải ở cơ sở trên địa bàn tỉnh Hải Dương</w:t>
      </w:r>
    </w:p>
    <w:p w:rsidR="00A70CCE" w:rsidRDefault="0092087F" w:rsidP="00A70CCE">
      <w:pPr>
        <w:spacing w:after="0" w:line="240" w:lineRule="auto"/>
        <w:rPr>
          <w:rFonts w:ascii="TimesNewRomanPS-BoldMT" w:eastAsia="Times New Roman" w:hAnsi="TimesNewRomanPS-BoldMT" w:cs="Times New Roman"/>
          <w:b/>
          <w:bCs/>
          <w:color w:val="000000"/>
        </w:rPr>
      </w:pPr>
      <w:bookmarkStart w:id="0" w:name="_GoBack"/>
      <w:bookmarkEnd w:id="0"/>
      <w:r>
        <w:rPr>
          <w:rFonts w:ascii="TimesNewRomanPS-BoldMT" w:eastAsia="Times New Roman" w:hAnsi="TimesNewRomanPS-BoldMT" w:cs="Times New Roman"/>
          <w:b/>
          <w:bCs/>
          <w:noProof/>
          <w:color w:val="000000"/>
        </w:rPr>
        <w:pict>
          <v:shape id="_x0000_s1029" type="#_x0000_t32" style="position:absolute;margin-left:161.7pt;margin-top:3.25pt;width:131.25pt;height:0;z-index:251660288" o:connectortype="straight"/>
        </w:pic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HỘI ĐỒNG NHÂN DÂN TỈNH HẢI DƯƠNG</w: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 xml:space="preserve">KHÓA XVII, KỲ HỌP THỨ </w:t>
      </w:r>
      <w:r w:rsidR="00DF28CB">
        <w:rPr>
          <w:rFonts w:ascii="TimesNewRomanPS-BoldMT" w:eastAsia="Times New Roman" w:hAnsi="TimesNewRomanPS-BoldMT" w:cs="Times New Roman"/>
          <w:b/>
          <w:bCs/>
          <w:color w:val="000000"/>
        </w:rPr>
        <w:t>20</w:t>
      </w:r>
    </w:p>
    <w:p w:rsidR="00A70CCE" w:rsidRDefault="00A70CCE" w:rsidP="00A70CCE">
      <w:pPr>
        <w:spacing w:after="0" w:line="240" w:lineRule="auto"/>
        <w:rPr>
          <w:rFonts w:ascii="TimesNewRomanPS-ItalicMT" w:eastAsia="Times New Roman" w:hAnsi="TimesNewRomanPS-ItalicMT" w:cs="Times New Roman"/>
          <w:i/>
          <w:iCs/>
          <w:color w:val="000000"/>
        </w:rPr>
      </w:pP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Luật Phổ biến, giáo dục pháp luật ngày 20 tháng 6 năm 2012;</w:t>
      </w: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Luật Hòa giải ở cơ sở ngày 20 tháng 6 năm 2013;</w:t>
      </w: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Luật Ngân sách nhà nước ngày 25 tháng 6 năm 2015;</w:t>
      </w: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Nghị định số 28/2013/NĐ-CP ngày 04 tháng 4 năm 2013 của Chính phủ quy định chi tiết một số điều và biện pháp bảo đảm thi hành Luật Phổ biến, giáo dục pháp luật;</w:t>
      </w: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Nghị định số 15/2014/NĐ-CP ngày 27 tháng 02 năm 2014 của Chính phủ quy định chi tiết một số điều và biện pháp thi hành Luật Hòa giải ở cơ sở;</w:t>
      </w: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Quyết định số 25/2021/QĐ-TTg ngày 22 tháng 7 năm 2021 của Thủ tướng Chính phủ quy định về xã, phường, thị trấn đạt chuẩn tiếp cận pháp luật;</w:t>
      </w:r>
    </w:p>
    <w:p w:rsidR="00B325ED" w:rsidRPr="00B325ED" w:rsidRDefault="00B325ED" w:rsidP="00B325ED">
      <w:pPr>
        <w:spacing w:after="120" w:line="240" w:lineRule="auto"/>
        <w:ind w:firstLine="567"/>
        <w:jc w:val="both"/>
        <w:rPr>
          <w:rStyle w:val="fontstyle01"/>
          <w:rFonts w:ascii="Times New Roman" w:hAnsi="Times New Roman" w:cs="Times New Roman"/>
          <w:b w:val="0"/>
          <w:i/>
          <w:sz w:val="28"/>
          <w:szCs w:val="28"/>
        </w:rPr>
      </w:pPr>
      <w:r w:rsidRPr="00B325ED">
        <w:rPr>
          <w:rStyle w:val="fontstyle01"/>
          <w:rFonts w:ascii="Times New Roman" w:hAnsi="Times New Roman" w:cs="Times New Roman"/>
          <w:b w:val="0"/>
          <w:i/>
          <w:sz w:val="28"/>
          <w:szCs w:val="28"/>
        </w:rPr>
        <w:t>Căn cứ Thông tư số 56/2023/TT-BTC ngày 18 tháng 8 năm 2023 của Bộ trưởng Bộ Tài chính quy định việc lập dự toán, quản lý, sử dụng và quyết toán kinh phí bảo đảm cho công tác phổ biến, giáo dục pháp luật, chuẩn tiếp cận pháp luật và hoà giải ở cơ sở;</w:t>
      </w:r>
    </w:p>
    <w:p w:rsidR="00DF28CB" w:rsidRPr="00B325ED" w:rsidRDefault="00B325ED" w:rsidP="00B325ED">
      <w:pPr>
        <w:spacing w:after="120" w:line="240" w:lineRule="auto"/>
        <w:ind w:firstLine="567"/>
        <w:jc w:val="both"/>
        <w:rPr>
          <w:rFonts w:eastAsia="Times New Roman" w:cs="Times New Roman"/>
          <w:b/>
          <w:bCs/>
          <w:i/>
          <w:color w:val="000000"/>
          <w:szCs w:val="28"/>
        </w:rPr>
      </w:pPr>
      <w:r w:rsidRPr="00B325ED">
        <w:rPr>
          <w:rStyle w:val="fontstyle01"/>
          <w:rFonts w:ascii="Times New Roman" w:hAnsi="Times New Roman" w:cs="Times New Roman"/>
          <w:b w:val="0"/>
          <w:i/>
          <w:sz w:val="28"/>
          <w:szCs w:val="28"/>
        </w:rPr>
        <w:t>Xét Tờ trình số 14/TTr-UBND ngày 29 tháng 02 năm 2024 của Ủy ban nhân dân tỉnh về việc ban hành Nghị quyết quy định một số mức chi thực hiện công tác phổ biến, giáo dục pháp luật, chuẩn tiếp cận pháp luật và hòa giải ở cơ sở trên địa bàn tỉnh Hải Dương; Báo cáo thẩm tra của Ban Pháp chế Hội đồng nhân dân tỉnh và ý kiến thảo luận của đại biểu Hội đồng nhân dân tỉnh tại kỳ họp.</w:t>
      </w:r>
    </w:p>
    <w:p w:rsidR="00A70CCE" w:rsidRPr="00B325ED" w:rsidRDefault="00A70CCE" w:rsidP="00B325ED">
      <w:pPr>
        <w:spacing w:after="120" w:line="240" w:lineRule="auto"/>
        <w:ind w:firstLine="567"/>
        <w:jc w:val="center"/>
        <w:rPr>
          <w:rFonts w:eastAsia="Times New Roman" w:cs="Times New Roman"/>
          <w:b/>
          <w:bCs/>
          <w:color w:val="000000"/>
          <w:szCs w:val="28"/>
        </w:rPr>
      </w:pPr>
      <w:r w:rsidRPr="00B325ED">
        <w:rPr>
          <w:rFonts w:eastAsia="Times New Roman" w:cs="Times New Roman"/>
          <w:b/>
          <w:bCs/>
          <w:color w:val="000000"/>
          <w:szCs w:val="28"/>
        </w:rPr>
        <w:t>QUYẾT NGHỊ:</w:t>
      </w:r>
    </w:p>
    <w:p w:rsidR="00B325ED" w:rsidRDefault="00B325ED" w:rsidP="00B325ED">
      <w:pPr>
        <w:keepNext/>
        <w:widowControl w:val="0"/>
        <w:spacing w:after="120" w:line="240" w:lineRule="auto"/>
        <w:ind w:firstLine="567"/>
        <w:jc w:val="both"/>
        <w:rPr>
          <w:rStyle w:val="fontstyle01"/>
          <w:rFonts w:ascii="Times New Roman" w:hAnsi="Times New Roman" w:cs="Times New Roman"/>
          <w:sz w:val="28"/>
          <w:szCs w:val="28"/>
        </w:rPr>
      </w:pPr>
      <w:r w:rsidRPr="00B325ED">
        <w:rPr>
          <w:rStyle w:val="fontstyle01"/>
          <w:rFonts w:ascii="Times New Roman" w:hAnsi="Times New Roman" w:cs="Times New Roman"/>
          <w:sz w:val="28"/>
          <w:szCs w:val="28"/>
        </w:rPr>
        <w:t>Điều 1. Quy định một số mức chi thực hiện công tác phổ biến, giáo dục pháp luật, chuẩn tiếp cận pháp luật và hòa giải ở cơ sở</w:t>
      </w:r>
    </w:p>
    <w:p w:rsidR="00B325ED" w:rsidRPr="00B325ED" w:rsidRDefault="00B325ED" w:rsidP="00B325ED">
      <w:pPr>
        <w:keepNext/>
        <w:widowControl w:val="0"/>
        <w:spacing w:after="120" w:line="240" w:lineRule="auto"/>
        <w:ind w:firstLine="567"/>
        <w:jc w:val="both"/>
        <w:rPr>
          <w:rFonts w:cs="Times New Roman"/>
          <w:szCs w:val="28"/>
        </w:rPr>
      </w:pPr>
      <w:r w:rsidRPr="00B325ED">
        <w:rPr>
          <w:rStyle w:val="fontstyle21"/>
          <w:rFonts w:ascii="Times New Roman" w:hAnsi="Times New Roman" w:cs="Times New Roman"/>
        </w:rPr>
        <w:t xml:space="preserve">1. Mức chi thực hiện công tác phổ biến, giáo dục pháp luật, chuẩn tiếp cận pháp luật và hòa giải ở cơ sở trên địa bàn tỉnh Hải Dương được quy định tại Phụ </w:t>
      </w:r>
      <w:r w:rsidRPr="00B325ED">
        <w:rPr>
          <w:rStyle w:val="fontstyle21"/>
          <w:rFonts w:ascii="Times New Roman" w:hAnsi="Times New Roman" w:cs="Times New Roman"/>
        </w:rPr>
        <w:lastRenderedPageBreak/>
        <w:t>lục ban hành kèm theo Nghị quyết này.</w:t>
      </w:r>
    </w:p>
    <w:p w:rsidR="00B325ED" w:rsidRPr="00B325ED" w:rsidRDefault="00B325ED" w:rsidP="00B325ED">
      <w:pPr>
        <w:spacing w:after="120" w:line="240" w:lineRule="auto"/>
        <w:ind w:firstLine="567"/>
        <w:jc w:val="both"/>
        <w:rPr>
          <w:rStyle w:val="fontstyle21"/>
          <w:rFonts w:ascii="Times New Roman" w:hAnsi="Times New Roman" w:cs="Times New Roman"/>
        </w:rPr>
      </w:pPr>
      <w:r w:rsidRPr="00B325ED">
        <w:rPr>
          <w:rStyle w:val="fontstyle21"/>
          <w:rFonts w:ascii="Times New Roman" w:hAnsi="Times New Roman" w:cs="Times New Roman"/>
        </w:rPr>
        <w:t>2. Đối với các nội dung chi khác không quy định tại Nghị quyết này được thực hiện theo Thông tư số 56/2023/TT-BTC ngày 18 tháng 8 năm 2023 của Bộ trưởng Bộ Tài chính quy định việc lập dự toán, quản lý, sử dụng và quyết toán kinh phí bảo đảm cho công tác phổ biến, giáo dục pháp luật, chuẩn tiếp cận pháp luật và hòa giải ở cơ sở và các văn bản quy phạm pháp luật khác có liên quan.</w:t>
      </w:r>
    </w:p>
    <w:p w:rsidR="00B325ED" w:rsidRPr="00B325ED" w:rsidRDefault="00B325ED" w:rsidP="00B325ED">
      <w:pPr>
        <w:spacing w:after="120" w:line="240" w:lineRule="auto"/>
        <w:ind w:firstLine="567"/>
        <w:jc w:val="both"/>
        <w:rPr>
          <w:rStyle w:val="fontstyle21"/>
          <w:rFonts w:ascii="Times New Roman" w:hAnsi="Times New Roman" w:cs="Times New Roman"/>
        </w:rPr>
      </w:pPr>
      <w:r w:rsidRPr="00B325ED">
        <w:rPr>
          <w:rStyle w:val="fontstyle21"/>
          <w:rFonts w:ascii="Times New Roman" w:hAnsi="Times New Roman" w:cs="Times New Roman"/>
        </w:rPr>
        <w:t>3. Nguồn kinh phí thực hiện: Từ nguồn ngân sách nhà nước đảm bảo trong dự toán chi hằng năm theo phân cấp và các nguồn tài trợ, nguồn kinh phí hợp pháp khác theo quy định của pháp luật.</w:t>
      </w:r>
    </w:p>
    <w:p w:rsidR="00B325ED" w:rsidRPr="00B325ED" w:rsidRDefault="00B325ED" w:rsidP="00B325ED">
      <w:pPr>
        <w:spacing w:after="120" w:line="240" w:lineRule="auto"/>
        <w:ind w:firstLine="567"/>
        <w:jc w:val="both"/>
        <w:rPr>
          <w:rStyle w:val="fontstyle01"/>
          <w:rFonts w:ascii="Times New Roman" w:hAnsi="Times New Roman" w:cs="Times New Roman"/>
          <w:sz w:val="28"/>
          <w:szCs w:val="28"/>
        </w:rPr>
      </w:pPr>
      <w:r w:rsidRPr="00B325ED">
        <w:rPr>
          <w:rStyle w:val="fontstyle01"/>
          <w:rFonts w:ascii="Times New Roman" w:hAnsi="Times New Roman" w:cs="Times New Roman"/>
          <w:sz w:val="28"/>
          <w:szCs w:val="28"/>
        </w:rPr>
        <w:t>Điều 2. Tổ chức thực hiện</w:t>
      </w:r>
    </w:p>
    <w:p w:rsidR="00B325ED" w:rsidRPr="00B325ED" w:rsidRDefault="00B325ED" w:rsidP="00B325ED">
      <w:pPr>
        <w:spacing w:after="120" w:line="240" w:lineRule="auto"/>
        <w:ind w:firstLine="567"/>
        <w:jc w:val="both"/>
        <w:rPr>
          <w:rStyle w:val="fontstyle21"/>
          <w:rFonts w:ascii="Times New Roman" w:hAnsi="Times New Roman" w:cs="Times New Roman"/>
        </w:rPr>
      </w:pPr>
      <w:r w:rsidRPr="00B325ED">
        <w:rPr>
          <w:rStyle w:val="fontstyle21"/>
          <w:rFonts w:ascii="Times New Roman" w:hAnsi="Times New Roman" w:cs="Times New Roman"/>
        </w:rPr>
        <w:t>1. Giao Ủy ban nhân dân tỉnh tổ chức triển khai thực hiện Nghị quyết.</w:t>
      </w:r>
    </w:p>
    <w:p w:rsidR="00B325ED" w:rsidRPr="00B325ED" w:rsidRDefault="00B325ED" w:rsidP="00B325ED">
      <w:pPr>
        <w:spacing w:after="120" w:line="240" w:lineRule="auto"/>
        <w:ind w:firstLine="567"/>
        <w:jc w:val="both"/>
        <w:rPr>
          <w:rStyle w:val="fontstyle21"/>
          <w:rFonts w:ascii="Times New Roman" w:hAnsi="Times New Roman" w:cs="Times New Roman"/>
        </w:rPr>
      </w:pPr>
      <w:r w:rsidRPr="00B325ED">
        <w:rPr>
          <w:rStyle w:val="fontstyle21"/>
          <w:rFonts w:ascii="Times New Roman" w:hAnsi="Times New Roman" w:cs="Times New Roman"/>
        </w:rPr>
        <w:t>2. Thường trực Hội đồng nhân dân, các Ban của Hội đồng nhân dân, các</w:t>
      </w:r>
    </w:p>
    <w:p w:rsidR="00B325ED" w:rsidRPr="00B325ED" w:rsidRDefault="00B325ED" w:rsidP="00B325ED">
      <w:pPr>
        <w:spacing w:after="120" w:line="240" w:lineRule="auto"/>
        <w:ind w:firstLine="567"/>
        <w:jc w:val="both"/>
        <w:rPr>
          <w:rStyle w:val="fontstyle21"/>
          <w:rFonts w:ascii="Times New Roman" w:hAnsi="Times New Roman" w:cs="Times New Roman"/>
        </w:rPr>
      </w:pPr>
      <w:r w:rsidRPr="00B325ED">
        <w:rPr>
          <w:rStyle w:val="fontstyle21"/>
          <w:rFonts w:ascii="Times New Roman" w:hAnsi="Times New Roman" w:cs="Times New Roman"/>
        </w:rPr>
        <w:t>Tổ đại biểu Hội đồng nhân dân và các đại biểu Hội đồng nhân dân tỉnh giám sát việc thực hiện Nghị quyết.</w:t>
      </w:r>
    </w:p>
    <w:p w:rsidR="00B325ED" w:rsidRPr="00B325ED" w:rsidRDefault="00B325ED" w:rsidP="00B325ED">
      <w:pPr>
        <w:spacing w:after="120" w:line="240" w:lineRule="auto"/>
        <w:ind w:firstLine="567"/>
        <w:jc w:val="both"/>
        <w:rPr>
          <w:rStyle w:val="fontstyle01"/>
          <w:rFonts w:ascii="Times New Roman" w:hAnsi="Times New Roman" w:cs="Times New Roman"/>
          <w:sz w:val="28"/>
          <w:szCs w:val="28"/>
        </w:rPr>
      </w:pPr>
      <w:r w:rsidRPr="00B325ED">
        <w:rPr>
          <w:rStyle w:val="fontstyle01"/>
          <w:rFonts w:ascii="Times New Roman" w:hAnsi="Times New Roman" w:cs="Times New Roman"/>
          <w:sz w:val="28"/>
          <w:szCs w:val="28"/>
        </w:rPr>
        <w:t>Điều 3. Điều khoản thi hành</w:t>
      </w:r>
    </w:p>
    <w:p w:rsidR="00B325ED" w:rsidRPr="00B325ED" w:rsidRDefault="00B325ED" w:rsidP="00B325ED">
      <w:pPr>
        <w:spacing w:after="120" w:line="240" w:lineRule="auto"/>
        <w:ind w:firstLine="567"/>
        <w:jc w:val="both"/>
        <w:rPr>
          <w:rStyle w:val="fontstyle21"/>
          <w:rFonts w:ascii="Times New Roman" w:hAnsi="Times New Roman" w:cs="Times New Roman"/>
        </w:rPr>
      </w:pPr>
      <w:r w:rsidRPr="00B325ED">
        <w:rPr>
          <w:rStyle w:val="fontstyle21"/>
          <w:rFonts w:ascii="Times New Roman" w:hAnsi="Times New Roman" w:cs="Times New Roman"/>
        </w:rPr>
        <w:t>1. Trong quá trình thực hiện, nếu các văn bản quy phạm pháp luật được dẫn chiếu để áp dụng tại Nghị quyết này được sửa đổi, bổ sung hoặc thay thế bằng văn bản quy phạm pháp luật mới thì áp dụng theo các văn bản mới đó.</w:t>
      </w:r>
    </w:p>
    <w:p w:rsidR="00B325ED" w:rsidRPr="00B325ED" w:rsidRDefault="00B325ED" w:rsidP="00B325ED">
      <w:pPr>
        <w:spacing w:after="120" w:line="240" w:lineRule="auto"/>
        <w:ind w:firstLine="567"/>
        <w:jc w:val="both"/>
        <w:rPr>
          <w:rStyle w:val="fontstyle21"/>
          <w:rFonts w:ascii="Times New Roman" w:hAnsi="Times New Roman" w:cs="Times New Roman"/>
        </w:rPr>
      </w:pPr>
      <w:r w:rsidRPr="00B325ED">
        <w:rPr>
          <w:rStyle w:val="fontstyle21"/>
          <w:rFonts w:ascii="Times New Roman" w:hAnsi="Times New Roman" w:cs="Times New Roman"/>
        </w:rPr>
        <w:t>2. Nghị quyết này thay thế Nghị quyết số 96/2014/NQ-HĐND15 ngày 11 tháng 12 năm 2014 của Hội đồng nhân dân tỉnh Hải Dương về việc quy định mức chi bảo đảm cho công tác phổ biến giáo dục pháp luật, hoà giải và chuẩn tiếp cận pháp luật của người dân tại cơ sở trên địa bàn tỉnh Hải Dương.</w:t>
      </w:r>
    </w:p>
    <w:p w:rsidR="00DF28CB" w:rsidRPr="00B325ED" w:rsidRDefault="00B325ED" w:rsidP="00B325ED">
      <w:pPr>
        <w:spacing w:after="120" w:line="240" w:lineRule="auto"/>
        <w:ind w:firstLine="567"/>
        <w:jc w:val="both"/>
        <w:rPr>
          <w:rFonts w:eastAsia="Times New Roman" w:cs="Times New Roman"/>
          <w:b/>
          <w:bCs/>
          <w:color w:val="000000"/>
          <w:szCs w:val="28"/>
        </w:rPr>
      </w:pPr>
      <w:r w:rsidRPr="00B325ED">
        <w:rPr>
          <w:rStyle w:val="fontstyle21"/>
          <w:rFonts w:ascii="Times New Roman" w:hAnsi="Times New Roman" w:cs="Times New Roman"/>
        </w:rPr>
        <w:t>Nghị quyết này được Hội đồng nhân dân tỉnh Hải Dương khóa XVII, kỳ họp thứ 20 thông qua ngày 01 tháng 3 năm 2024, có hiệu lực từ ngày 11 tháng 3 năm 2024./.</w:t>
      </w:r>
    </w:p>
    <w:p w:rsidR="00A70CCE" w:rsidRPr="00A70CCE" w:rsidRDefault="00A70CCE" w:rsidP="00A70CCE">
      <w:pPr>
        <w:spacing w:after="0" w:line="240" w:lineRule="auto"/>
        <w:ind w:firstLine="426"/>
        <w:jc w:val="both"/>
        <w:rPr>
          <w:rFonts w:ascii="TimesNewRomanPSMT" w:eastAsia="Times New Roman" w:hAnsi="TimesNewRomanPSMT" w:cs="Times New Roman"/>
          <w:color w:val="000000"/>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A70CCE" w:rsidTr="00B325ED">
        <w:tc>
          <w:tcPr>
            <w:tcW w:w="5070"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Ủy ban Thường vụ Quốc hội;</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Chính phủ;</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Ban Công tác đại biểu;</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Bộ Tài chính;</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Bộ Tư pháp (Cục Kiểm tra VBQPPL);</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Ban Thường vụ Tỉnh uỷ;</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TT HĐND, UBND, UBMTTQ, Đoàn ĐBQH tỉnh;</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Các đại biểu HĐND tỉnh;</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Văn phòng: Tỉnh uỷ, UBND tỉnh;</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Lãnh đạo và CV VP Đoàn ĐBQH và HĐND tỉnh;</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Các sở, ban, ngành, đoàn thể tỉnh;</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TT HĐND, UBND các huyện, TX, TP;</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Báo HD, Đài PT-TH tỉnh, Trang TTĐT Đoàn ĐBQH</w:t>
            </w:r>
          </w:p>
          <w:p w:rsidR="00B325ED" w:rsidRPr="00B325ED" w:rsidRDefault="00B325ED" w:rsidP="00B325ED">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và HĐND tỉnh, Trung tâm CNTT - VP UBND tỉnh;</w:t>
            </w:r>
          </w:p>
          <w:p w:rsidR="00A70CCE" w:rsidRDefault="00B325ED" w:rsidP="00B325ED">
            <w:pPr>
              <w:rPr>
                <w:rFonts w:ascii="TimesNewRomanPS-BoldItalicMT" w:eastAsia="Times New Roman" w:hAnsi="TimesNewRomanPS-BoldItalicMT" w:cs="Times New Roman"/>
                <w:b/>
                <w:bCs/>
                <w:i/>
                <w:iCs/>
                <w:color w:val="000000"/>
                <w:sz w:val="24"/>
              </w:rPr>
            </w:pPr>
            <w:r w:rsidRPr="00B325ED">
              <w:rPr>
                <w:rFonts w:ascii="TimesNewRomanPSMT" w:eastAsia="Times New Roman" w:hAnsi="TimesNewRomanPSMT" w:cs="Times New Roman"/>
                <w:color w:val="000000"/>
                <w:sz w:val="22"/>
              </w:rPr>
              <w:t>- Lưu VT.</w:t>
            </w:r>
          </w:p>
        </w:tc>
        <w:tc>
          <w:tcPr>
            <w:tcW w:w="4644"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A70CCE">
      <w:pPr>
        <w:spacing w:after="0" w:line="240" w:lineRule="auto"/>
        <w:rPr>
          <w:rFonts w:ascii="TimesNewRomanPS-BoldItalicMT" w:eastAsia="Times New Roman" w:hAnsi="TimesNewRomanPS-BoldItalicMT" w:cs="Times New Roman"/>
          <w:b/>
          <w:bCs/>
          <w:i/>
          <w:iCs/>
          <w:color w:val="000000"/>
          <w:sz w:val="24"/>
        </w:rPr>
      </w:pPr>
    </w:p>
    <w:p w:rsidR="00A70CCE" w:rsidRDefault="00A70CCE" w:rsidP="00A70CCE">
      <w:pPr>
        <w:spacing w:after="0" w:line="240" w:lineRule="auto"/>
        <w:rPr>
          <w:rFonts w:ascii="TimesNewRomanPS-BoldItalicMT" w:eastAsia="Times New Roman" w:hAnsi="TimesNewRomanPS-BoldItalicMT" w:cs="Times New Roman"/>
          <w:b/>
          <w:bCs/>
          <w:i/>
          <w:iCs/>
          <w:color w:val="000000"/>
          <w:sz w:val="24"/>
        </w:rPr>
      </w:pPr>
    </w:p>
    <w:sectPr w:rsidR="00A70CCE"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D3042"/>
    <w:rsid w:val="003A0A48"/>
    <w:rsid w:val="006F0352"/>
    <w:rsid w:val="0092087F"/>
    <w:rsid w:val="00923A25"/>
    <w:rsid w:val="00A54806"/>
    <w:rsid w:val="00A70CCE"/>
    <w:rsid w:val="00B325ED"/>
    <w:rsid w:val="00DF2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9"/>
        <o:r id="V:Rule5" type="connector" idref="#_x0000_s1028"/>
        <o:r id="V:Rule6" type="connector" idref="#_x0000_s1027"/>
      </o:rules>
    </o:shapelayout>
  </w:shapeDefaults>
  <w:decimalSymbol w:val="."/>
  <w:listSeparator w:val=","/>
  <w14:docId w14:val="000F0BAA"/>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403599139">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634092984">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52F29-3092-4A78-BDDC-CE0592F88295}"/>
</file>

<file path=customXml/itemProps2.xml><?xml version="1.0" encoding="utf-8"?>
<ds:datastoreItem xmlns:ds="http://schemas.openxmlformats.org/officeDocument/2006/customXml" ds:itemID="{21337A7A-2E85-4D23-931B-88A341887293}"/>
</file>

<file path=customXml/itemProps3.xml><?xml version="1.0" encoding="utf-8"?>
<ds:datastoreItem xmlns:ds="http://schemas.openxmlformats.org/officeDocument/2006/customXml" ds:itemID="{35C7DC0A-03D6-4DD7-8A95-EBB215A78821}"/>
</file>

<file path=docProps/app.xml><?xml version="1.0" encoding="utf-8"?>
<Properties xmlns="http://schemas.openxmlformats.org/officeDocument/2006/extended-properties" xmlns:vt="http://schemas.openxmlformats.org/officeDocument/2006/docPropsVTypes">
  <Template>Normal</Template>
  <TotalTime>22</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7</cp:revision>
  <dcterms:created xsi:type="dcterms:W3CDTF">2024-01-08T06:58:00Z</dcterms:created>
  <dcterms:modified xsi:type="dcterms:W3CDTF">2024-03-04T08:08:00Z</dcterms:modified>
</cp:coreProperties>
</file>