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652"/>
        <w:gridCol w:w="5670"/>
      </w:tblGrid>
      <w:tr w:rsidR="003270BB" w:rsidRPr="003270BB" w14:paraId="6DEBD529" w14:textId="77777777" w:rsidTr="004C3AB8">
        <w:trPr>
          <w:trHeight w:val="568"/>
        </w:trPr>
        <w:tc>
          <w:tcPr>
            <w:tcW w:w="3652" w:type="dxa"/>
          </w:tcPr>
          <w:p w14:paraId="62D60B5E" w14:textId="0FA014B5" w:rsidR="005175ED" w:rsidRPr="003270BB" w:rsidRDefault="00336E93" w:rsidP="009B06B9">
            <w:pPr>
              <w:jc w:val="center"/>
              <w:rPr>
                <w:rFonts w:ascii="Times New Roman" w:eastAsia="Times New Roman" w:hAnsi="Times New Roman" w:cs="Times New Roman"/>
                <w:b/>
                <w:bCs/>
                <w:color w:val="auto"/>
                <w:sz w:val="26"/>
                <w:szCs w:val="26"/>
                <w:lang w:val="en-US"/>
              </w:rPr>
            </w:pPr>
            <w:r w:rsidRPr="003270BB">
              <w:rPr>
                <w:rFonts w:ascii="Times New Roman" w:eastAsia="Times New Roman" w:hAnsi="Times New Roman" w:cs="Times New Roman"/>
                <w:b/>
                <w:bCs/>
                <w:color w:val="auto"/>
                <w:sz w:val="26"/>
                <w:szCs w:val="26"/>
              </w:rPr>
              <w:t>HỘI ĐỒNG NHÂN DÂN</w:t>
            </w:r>
          </w:p>
          <w:p w14:paraId="487F138D" w14:textId="77777777" w:rsidR="005175ED" w:rsidRPr="003270BB" w:rsidRDefault="00336E93" w:rsidP="009B06B9">
            <w:pPr>
              <w:jc w:val="center"/>
              <w:rPr>
                <w:rFonts w:ascii="Times New Roman" w:eastAsia="Times New Roman" w:hAnsi="Times New Roman" w:cs="Times New Roman"/>
                <w:b/>
                <w:bCs/>
                <w:color w:val="auto"/>
                <w:sz w:val="26"/>
                <w:szCs w:val="26"/>
                <w:lang w:val="en-US"/>
              </w:rPr>
            </w:pPr>
            <w:r w:rsidRPr="003270BB">
              <w:rPr>
                <w:rFonts w:ascii="Times New Roman" w:eastAsia="Times New Roman" w:hAnsi="Times New Roman" w:cs="Times New Roman"/>
                <w:b/>
                <w:bCs/>
                <w:color w:val="auto"/>
                <w:sz w:val="26"/>
                <w:szCs w:val="26"/>
                <w:lang w:val="en-US"/>
              </w:rPr>
              <w:t>TỈNH TÂY NINH</w:t>
            </w:r>
          </w:p>
        </w:tc>
        <w:tc>
          <w:tcPr>
            <w:tcW w:w="5670" w:type="dxa"/>
          </w:tcPr>
          <w:p w14:paraId="4E1DF278" w14:textId="77777777" w:rsidR="005175ED" w:rsidRPr="003270BB" w:rsidRDefault="00336E93">
            <w:pPr>
              <w:jc w:val="center"/>
              <w:rPr>
                <w:rFonts w:ascii="Times New Roman" w:eastAsia="Times New Roman" w:hAnsi="Times New Roman" w:cs="Times New Roman"/>
                <w:b/>
                <w:bCs/>
                <w:color w:val="auto"/>
                <w:sz w:val="28"/>
                <w:szCs w:val="28"/>
                <w:lang w:val="en-US"/>
              </w:rPr>
            </w:pPr>
            <w:r w:rsidRPr="003270BB">
              <w:rPr>
                <w:rFonts w:ascii="Times New Roman" w:eastAsia="Times New Roman" w:hAnsi="Times New Roman" w:cs="Times New Roman"/>
                <w:b/>
                <w:bCs/>
                <w:color w:val="auto"/>
                <w:sz w:val="26"/>
                <w:szCs w:val="26"/>
              </w:rPr>
              <w:t>CỘNG HÒA XÃ HỘI CHỦ NGHĨA VIỆT NAM</w:t>
            </w:r>
            <w:r w:rsidRPr="003270BB">
              <w:rPr>
                <w:rFonts w:ascii="Times New Roman" w:eastAsia="Times New Roman" w:hAnsi="Times New Roman" w:cs="Times New Roman"/>
                <w:b/>
                <w:bCs/>
                <w:color w:val="auto"/>
                <w:sz w:val="28"/>
                <w:szCs w:val="28"/>
              </w:rPr>
              <w:br/>
              <w:t xml:space="preserve">Độc lập - Tự do - Hạnh phúc </w:t>
            </w:r>
          </w:p>
        </w:tc>
      </w:tr>
      <w:tr w:rsidR="003270BB" w:rsidRPr="003270BB" w14:paraId="62468B92" w14:textId="77777777" w:rsidTr="004C3AB8">
        <w:trPr>
          <w:trHeight w:val="764"/>
        </w:trPr>
        <w:tc>
          <w:tcPr>
            <w:tcW w:w="3652" w:type="dxa"/>
            <w:vAlign w:val="center"/>
          </w:tcPr>
          <w:p w14:paraId="0B5D717F" w14:textId="2E7D053D" w:rsidR="005175ED" w:rsidRPr="003270BB" w:rsidRDefault="00F57F43">
            <w:pPr>
              <w:spacing w:before="144" w:after="144" w:line="264" w:lineRule="auto"/>
              <w:jc w:val="center"/>
              <w:rPr>
                <w:rFonts w:ascii="Times New Roman" w:eastAsia="Times New Roman" w:hAnsi="Times New Roman" w:cs="Times New Roman"/>
                <w:color w:val="auto"/>
                <w:sz w:val="26"/>
                <w:szCs w:val="26"/>
              </w:rPr>
            </w:pPr>
            <w:r w:rsidRPr="003270BB">
              <w:rPr>
                <w:rFonts w:ascii="Times New Roman" w:eastAsia="Times New Roman" w:hAnsi="Times New Roman" w:cs="Times New Roman"/>
                <w:b/>
                <w:bCs/>
                <w:noProof/>
                <w:color w:val="auto"/>
                <w:sz w:val="28"/>
                <w:szCs w:val="28"/>
                <w:lang w:val="en-US"/>
              </w:rPr>
              <mc:AlternateContent>
                <mc:Choice Requires="wps">
                  <w:drawing>
                    <wp:anchor distT="0" distB="0" distL="114300" distR="114300" simplePos="0" relativeHeight="11" behindDoc="0" locked="0" layoutInCell="1" allowOverlap="1" wp14:anchorId="08F5A7AB" wp14:editId="1ADD3A4F">
                      <wp:simplePos x="0" y="0"/>
                      <wp:positionH relativeFrom="column">
                        <wp:posOffset>648335</wp:posOffset>
                      </wp:positionH>
                      <wp:positionV relativeFrom="paragraph">
                        <wp:posOffset>-22860</wp:posOffset>
                      </wp:positionV>
                      <wp:extent cx="818515" cy="0"/>
                      <wp:effectExtent l="0" t="0" r="19685"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 cy="0"/>
                              </a:xfrm>
                              <a:prstGeom prst="line">
                                <a:avLst/>
                              </a:prstGeom>
                              <a:noFill/>
                              <a:ln w="9525">
                                <a:solidFill>
                                  <a:srgbClr val="4579B8"/>
                                </a:solidFill>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14:sizeRelH relativeFrom="margin">
                        <wp14:pctWidth>0</wp14:pctWidth>
                      </wp14:sizeRelH>
                      <wp14:sizeRelV relativeFrom="margin">
                        <wp14:pctHeight>0</wp14:pctHeight>
                      </wp14:sizeRelV>
                    </wp:anchor>
                  </w:drawing>
                </mc:Choice>
                <mc:Fallback>
                  <w:pict>
                    <v:line w14:anchorId="1A5E9CBC" id="Straight Connector 1"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1.8pt" to="11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" strokecolor="#4579b8"/>
                  </w:pict>
                </mc:Fallback>
              </mc:AlternateContent>
            </w:r>
            <w:r w:rsidR="00336E93" w:rsidRPr="003270BB">
              <w:rPr>
                <w:rFonts w:ascii="Times New Roman" w:eastAsia="Times New Roman" w:hAnsi="Times New Roman" w:cs="Times New Roman"/>
                <w:color w:val="auto"/>
                <w:sz w:val="26"/>
                <w:szCs w:val="26"/>
              </w:rPr>
              <w:t>S</w:t>
            </w:r>
            <w:r w:rsidR="00336E93" w:rsidRPr="003270BB">
              <w:rPr>
                <w:rFonts w:ascii="Times New Roman" w:eastAsia="Times New Roman" w:hAnsi="Times New Roman" w:cs="Times New Roman"/>
                <w:color w:val="auto"/>
                <w:sz w:val="26"/>
                <w:szCs w:val="26"/>
                <w:lang w:val="en-US"/>
              </w:rPr>
              <w:t>ố</w:t>
            </w:r>
            <w:r w:rsidR="00336E93" w:rsidRPr="003270BB">
              <w:rPr>
                <w:rFonts w:ascii="Times New Roman" w:eastAsia="Times New Roman" w:hAnsi="Times New Roman" w:cs="Times New Roman"/>
                <w:color w:val="auto"/>
                <w:sz w:val="26"/>
                <w:szCs w:val="26"/>
              </w:rPr>
              <w:t>:</w:t>
            </w:r>
            <w:r w:rsidR="00551468" w:rsidRPr="003270BB">
              <w:rPr>
                <w:rFonts w:ascii="Times New Roman" w:eastAsia="Times New Roman" w:hAnsi="Times New Roman" w:cs="Times New Roman"/>
                <w:color w:val="auto"/>
                <w:sz w:val="26"/>
                <w:szCs w:val="26"/>
                <w:lang w:val="en-US"/>
              </w:rPr>
              <w:t xml:space="preserve">  </w:t>
            </w:r>
            <w:r w:rsidR="001F1B6E">
              <w:rPr>
                <w:rFonts w:ascii="Times New Roman" w:eastAsia="Times New Roman" w:hAnsi="Times New Roman" w:cs="Times New Roman"/>
                <w:color w:val="auto"/>
                <w:sz w:val="26"/>
                <w:szCs w:val="26"/>
                <w:lang w:val="en-US"/>
              </w:rPr>
              <w:t>70</w:t>
            </w:r>
            <w:r w:rsidR="00336E93" w:rsidRPr="003270BB">
              <w:rPr>
                <w:rFonts w:ascii="Times New Roman" w:eastAsia="Times New Roman" w:hAnsi="Times New Roman" w:cs="Times New Roman"/>
                <w:color w:val="auto"/>
                <w:sz w:val="26"/>
                <w:szCs w:val="26"/>
              </w:rPr>
              <w:t>/</w:t>
            </w:r>
            <w:r w:rsidR="00336E93" w:rsidRPr="003270BB">
              <w:rPr>
                <w:rFonts w:ascii="Times New Roman" w:eastAsia="Times New Roman" w:hAnsi="Times New Roman" w:cs="Times New Roman"/>
                <w:color w:val="auto"/>
                <w:sz w:val="26"/>
                <w:szCs w:val="26"/>
                <w:lang w:val="en-US"/>
              </w:rPr>
              <w:t>2024</w:t>
            </w:r>
            <w:r w:rsidR="00336E93" w:rsidRPr="003270BB">
              <w:rPr>
                <w:rFonts w:ascii="Times New Roman" w:eastAsia="Times New Roman" w:hAnsi="Times New Roman" w:cs="Times New Roman"/>
                <w:color w:val="auto"/>
                <w:sz w:val="26"/>
                <w:szCs w:val="26"/>
              </w:rPr>
              <w:t>/NQ-HĐND</w:t>
            </w:r>
          </w:p>
        </w:tc>
        <w:tc>
          <w:tcPr>
            <w:tcW w:w="5670" w:type="dxa"/>
            <w:vAlign w:val="center"/>
          </w:tcPr>
          <w:p w14:paraId="1AD7C252" w14:textId="17D05CAC" w:rsidR="005175ED" w:rsidRPr="003270BB" w:rsidRDefault="00336E93">
            <w:pPr>
              <w:spacing w:before="144" w:after="144" w:line="264" w:lineRule="auto"/>
              <w:jc w:val="center"/>
              <w:rPr>
                <w:rFonts w:ascii="Times New Roman" w:eastAsia="Times New Roman" w:hAnsi="Times New Roman" w:cs="Times New Roman"/>
                <w:i/>
                <w:iCs/>
                <w:color w:val="auto"/>
                <w:sz w:val="28"/>
                <w:szCs w:val="28"/>
                <w:lang w:val="en-US"/>
              </w:rPr>
            </w:pPr>
            <w:r w:rsidRPr="004C3AB8">
              <w:rPr>
                <w:rFonts w:ascii="Times New Roman" w:eastAsia="Times New Roman" w:hAnsi="Times New Roman" w:cs="Times New Roman"/>
                <w:noProof/>
                <w:color w:val="auto"/>
                <w:sz w:val="26"/>
                <w:szCs w:val="26"/>
                <w:lang w:val="en-US"/>
              </w:rPr>
              <mc:AlternateContent>
                <mc:Choice Requires="wps">
                  <w:drawing>
                    <wp:anchor distT="0" distB="0" distL="114300" distR="114300" simplePos="0" relativeHeight="12" behindDoc="0" locked="0" layoutInCell="1" allowOverlap="1" wp14:anchorId="293EE638" wp14:editId="2CB29FB0">
                      <wp:simplePos x="0" y="0"/>
                      <wp:positionH relativeFrom="column">
                        <wp:posOffset>672465</wp:posOffset>
                      </wp:positionH>
                      <wp:positionV relativeFrom="paragraph">
                        <wp:posOffset>19050</wp:posOffset>
                      </wp:positionV>
                      <wp:extent cx="2130425" cy="0"/>
                      <wp:effectExtent l="0" t="0" r="2222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425" cy="0"/>
                              </a:xfrm>
                              <a:prstGeom prst="line">
                                <a:avLst/>
                              </a:prstGeom>
                              <a:noFill/>
                              <a:ln w="9525">
                                <a:solidFill>
                                  <a:srgbClr val="4579B8"/>
                                </a:solidFill>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14:sizeRelH relativeFrom="margin">
                        <wp14:pctWidth>0</wp14:pctWidth>
                      </wp14:sizeRelH>
                      <wp14:sizeRelV relativeFrom="margin">
                        <wp14:pctHeight>0</wp14:pctHeight>
                      </wp14:sizeRelV>
                    </wp:anchor>
                  </w:drawing>
                </mc:Choice>
                <mc:Fallback>
                  <w:pict>
                    <v:line w14:anchorId="3067B0D8" id="Straight Connector 2" o:spid="_x0000_s1026" style="position:absolute;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1.5pt" to="22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" strokecolor="#4579b8"/>
                  </w:pict>
                </mc:Fallback>
              </mc:AlternateContent>
            </w:r>
            <w:r w:rsidRPr="003270BB">
              <w:rPr>
                <w:rFonts w:ascii="Times New Roman" w:eastAsia="Times New Roman" w:hAnsi="Times New Roman" w:cs="Times New Roman"/>
                <w:i/>
                <w:iCs/>
                <w:color w:val="auto"/>
                <w:sz w:val="26"/>
                <w:szCs w:val="26"/>
                <w:lang w:val="en-US"/>
              </w:rPr>
              <w:t>Tây Ninh</w:t>
            </w:r>
            <w:r w:rsidRPr="003270BB">
              <w:rPr>
                <w:rFonts w:ascii="Times New Roman" w:eastAsia="Times New Roman" w:hAnsi="Times New Roman" w:cs="Times New Roman"/>
                <w:i/>
                <w:iCs/>
                <w:color w:val="auto"/>
                <w:sz w:val="28"/>
                <w:szCs w:val="28"/>
              </w:rPr>
              <w:t xml:space="preserve">, ngày </w:t>
            </w:r>
            <w:r w:rsidRPr="003270BB">
              <w:rPr>
                <w:rFonts w:ascii="Times New Roman" w:eastAsia="Times New Roman" w:hAnsi="Times New Roman" w:cs="Times New Roman"/>
                <w:i/>
                <w:iCs/>
                <w:color w:val="auto"/>
                <w:sz w:val="28"/>
                <w:szCs w:val="28"/>
                <w:lang w:val="en-US"/>
              </w:rPr>
              <w:t xml:space="preserve">  </w:t>
            </w:r>
            <w:r w:rsidR="001F1B6E">
              <w:rPr>
                <w:rFonts w:ascii="Times New Roman" w:eastAsia="Times New Roman" w:hAnsi="Times New Roman" w:cs="Times New Roman"/>
                <w:i/>
                <w:iCs/>
                <w:color w:val="auto"/>
                <w:sz w:val="28"/>
                <w:szCs w:val="28"/>
                <w:lang w:val="en-US"/>
              </w:rPr>
              <w:t>22</w:t>
            </w:r>
            <w:r w:rsidRPr="003270BB">
              <w:rPr>
                <w:rFonts w:ascii="Times New Roman" w:eastAsia="Times New Roman" w:hAnsi="Times New Roman" w:cs="Times New Roman"/>
                <w:i/>
                <w:iCs/>
                <w:color w:val="auto"/>
                <w:sz w:val="28"/>
                <w:szCs w:val="28"/>
                <w:lang w:val="en-US"/>
              </w:rPr>
              <w:t xml:space="preserve"> </w:t>
            </w:r>
            <w:r w:rsidRPr="003270BB">
              <w:rPr>
                <w:rFonts w:ascii="Times New Roman" w:eastAsia="Times New Roman" w:hAnsi="Times New Roman" w:cs="Times New Roman"/>
                <w:i/>
                <w:iCs/>
                <w:color w:val="auto"/>
                <w:sz w:val="28"/>
                <w:szCs w:val="28"/>
              </w:rPr>
              <w:t xml:space="preserve"> </w:t>
            </w:r>
            <w:r w:rsidRPr="003270BB">
              <w:rPr>
                <w:rFonts w:ascii="Times New Roman" w:eastAsia="Times New Roman" w:hAnsi="Times New Roman" w:cs="Times New Roman"/>
                <w:i/>
                <w:iCs/>
                <w:color w:val="auto"/>
                <w:sz w:val="28"/>
                <w:szCs w:val="28"/>
                <w:lang w:val="en-US"/>
              </w:rPr>
              <w:t xml:space="preserve"> </w:t>
            </w:r>
            <w:r w:rsidRPr="003270BB">
              <w:rPr>
                <w:rFonts w:ascii="Times New Roman" w:eastAsia="Times New Roman" w:hAnsi="Times New Roman" w:cs="Times New Roman"/>
                <w:i/>
                <w:iCs/>
                <w:color w:val="auto"/>
                <w:sz w:val="28"/>
                <w:szCs w:val="28"/>
              </w:rPr>
              <w:t xml:space="preserve">tháng </w:t>
            </w:r>
            <w:r w:rsidRPr="003270BB">
              <w:rPr>
                <w:rFonts w:ascii="Times New Roman" w:eastAsia="Times New Roman" w:hAnsi="Times New Roman" w:cs="Times New Roman"/>
                <w:i/>
                <w:iCs/>
                <w:color w:val="auto"/>
                <w:sz w:val="28"/>
                <w:szCs w:val="28"/>
                <w:lang w:val="en-US"/>
              </w:rPr>
              <w:t xml:space="preserve"> </w:t>
            </w:r>
            <w:r w:rsidR="00B25BBB" w:rsidRPr="003270BB">
              <w:rPr>
                <w:rFonts w:ascii="Times New Roman" w:eastAsia="Times New Roman" w:hAnsi="Times New Roman" w:cs="Times New Roman"/>
                <w:i/>
                <w:iCs/>
                <w:color w:val="auto"/>
                <w:sz w:val="28"/>
                <w:szCs w:val="28"/>
                <w:lang w:val="en-US"/>
              </w:rPr>
              <w:t>3</w:t>
            </w:r>
            <w:r w:rsidRPr="003270BB">
              <w:rPr>
                <w:rFonts w:ascii="Times New Roman" w:eastAsia="Times New Roman" w:hAnsi="Times New Roman" w:cs="Times New Roman"/>
                <w:i/>
                <w:iCs/>
                <w:color w:val="auto"/>
                <w:sz w:val="28"/>
                <w:szCs w:val="28"/>
                <w:lang w:val="en-US"/>
              </w:rPr>
              <w:t xml:space="preserve"> </w:t>
            </w:r>
            <w:r w:rsidRPr="003270BB">
              <w:rPr>
                <w:rFonts w:ascii="Times New Roman" w:eastAsia="Times New Roman" w:hAnsi="Times New Roman" w:cs="Times New Roman"/>
                <w:i/>
                <w:iCs/>
                <w:color w:val="auto"/>
                <w:sz w:val="28"/>
                <w:szCs w:val="28"/>
              </w:rPr>
              <w:t xml:space="preserve"> năm 202</w:t>
            </w:r>
            <w:r w:rsidRPr="003270BB">
              <w:rPr>
                <w:rFonts w:ascii="Times New Roman" w:eastAsia="Times New Roman" w:hAnsi="Times New Roman" w:cs="Times New Roman"/>
                <w:i/>
                <w:iCs/>
                <w:color w:val="auto"/>
                <w:sz w:val="28"/>
                <w:szCs w:val="28"/>
                <w:lang w:val="en-US"/>
              </w:rPr>
              <w:t>4</w:t>
            </w:r>
          </w:p>
        </w:tc>
      </w:tr>
    </w:tbl>
    <w:p w14:paraId="47653A54" w14:textId="3A79E547" w:rsidR="005175ED" w:rsidRPr="003270BB" w:rsidRDefault="00336E93">
      <w:pPr>
        <w:tabs>
          <w:tab w:val="right" w:leader="dot" w:pos="8640"/>
        </w:tabs>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 xml:space="preserve">       </w:t>
      </w:r>
      <w:r w:rsidRPr="003270BB">
        <w:rPr>
          <w:rFonts w:ascii="Times New Roman" w:hAnsi="Times New Roman" w:cs="Times New Roman"/>
          <w:color w:val="auto"/>
          <w:sz w:val="28"/>
          <w:szCs w:val="28"/>
          <w:lang w:val="en-US"/>
        </w:rPr>
        <w:t xml:space="preserve">    </w:t>
      </w:r>
    </w:p>
    <w:p w14:paraId="117B7DA3" w14:textId="54208173" w:rsidR="005175ED" w:rsidRPr="003270BB" w:rsidRDefault="005175ED">
      <w:pPr>
        <w:tabs>
          <w:tab w:val="right" w:leader="dot" w:pos="8640"/>
        </w:tabs>
        <w:jc w:val="center"/>
        <w:rPr>
          <w:rFonts w:ascii="Times New Roman" w:hAnsi="Times New Roman" w:cs="Times New Roman"/>
          <w:b/>
          <w:bCs/>
          <w:color w:val="auto"/>
          <w:sz w:val="28"/>
          <w:szCs w:val="28"/>
        </w:rPr>
      </w:pPr>
    </w:p>
    <w:p w14:paraId="498F96E1" w14:textId="729E4865" w:rsidR="005175ED" w:rsidRPr="003270BB" w:rsidRDefault="004C3AB8" w:rsidP="004C3AB8">
      <w:pPr>
        <w:tabs>
          <w:tab w:val="right" w:leader="dot" w:pos="8640"/>
        </w:tabs>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 xml:space="preserve">                                                  </w:t>
      </w:r>
      <w:r w:rsidR="00336E93" w:rsidRPr="003270BB">
        <w:rPr>
          <w:rFonts w:ascii="Times New Roman" w:hAnsi="Times New Roman" w:cs="Times New Roman"/>
          <w:b/>
          <w:bCs/>
          <w:color w:val="auto"/>
          <w:sz w:val="28"/>
          <w:szCs w:val="28"/>
        </w:rPr>
        <w:t>NGHỊ QUYẾT</w:t>
      </w:r>
    </w:p>
    <w:p w14:paraId="249C0637" w14:textId="77777777" w:rsidR="005175ED" w:rsidRPr="003270BB" w:rsidRDefault="00336E93">
      <w:pPr>
        <w:tabs>
          <w:tab w:val="right" w:leader="dot" w:pos="7920"/>
        </w:tabs>
        <w:jc w:val="center"/>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 xml:space="preserve">Quy định một số nội dung, mức chi hỗ trợ nạn nhân </w:t>
      </w:r>
    </w:p>
    <w:p w14:paraId="10A7229B" w14:textId="77777777" w:rsidR="005175ED" w:rsidRPr="003270BB" w:rsidRDefault="00336E93">
      <w:pPr>
        <w:tabs>
          <w:tab w:val="right" w:leader="dot" w:pos="7920"/>
        </w:tabs>
        <w:jc w:val="center"/>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và công tác hỗ trợ nạn nhân bị mua bán trên địa bàn tỉnh Tây Ninh</w:t>
      </w:r>
    </w:p>
    <w:p w14:paraId="76E757BE" w14:textId="07BC7858" w:rsidR="005175ED" w:rsidRPr="004C3AB8" w:rsidRDefault="00F57F43" w:rsidP="004C3AB8">
      <w:pPr>
        <w:spacing w:after="120"/>
        <w:ind w:right="29"/>
        <w:jc w:val="center"/>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1312" behindDoc="0" locked="0" layoutInCell="1" allowOverlap="1" wp14:anchorId="10E2F379" wp14:editId="2861A42E">
                <wp:simplePos x="0" y="0"/>
                <wp:positionH relativeFrom="column">
                  <wp:posOffset>2209638</wp:posOffset>
                </wp:positionH>
                <wp:positionV relativeFrom="paragraph">
                  <wp:posOffset>100965</wp:posOffset>
                </wp:positionV>
                <wp:extent cx="1155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15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AF96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7.95pt" to="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" strokecolor="black [3040]"/>
            </w:pict>
          </mc:Fallback>
        </mc:AlternateContent>
      </w:r>
      <w:r w:rsidR="004C3AB8" w:rsidRPr="00AF2491">
        <w:rPr>
          <w:sz w:val="20"/>
          <w:szCs w:val="20"/>
        </w:rPr>
        <w:t xml:space="preserve">    </w:t>
      </w:r>
      <w:r w:rsidR="004C3AB8">
        <w:rPr>
          <w:sz w:val="20"/>
          <w:szCs w:val="20"/>
        </w:rPr>
        <w:tab/>
      </w:r>
      <w:r w:rsidR="00336E93" w:rsidRPr="003270BB">
        <w:rPr>
          <w:noProof/>
          <w:lang w:val="en-US"/>
        </w:rPr>
        <mc:AlternateContent>
          <mc:Choice Requires="wps">
            <w:drawing>
              <wp:anchor distT="0" distB="0" distL="114300" distR="114300" simplePos="0" relativeHeight="10" behindDoc="0" locked="0" layoutInCell="1" allowOverlap="1" wp14:anchorId="00A0ED42" wp14:editId="02556A5A">
                <wp:simplePos x="0" y="0"/>
                <wp:positionH relativeFrom="column">
                  <wp:posOffset>0</wp:posOffset>
                </wp:positionH>
                <wp:positionV relativeFrom="paragraph">
                  <wp:posOffset>0</wp:posOffset>
                </wp:positionV>
                <wp:extent cx="635000" cy="635000"/>
                <wp:effectExtent l="9525" t="9525" r="12700" b="12700"/>
                <wp:wrapNone/>
                <wp:docPr id="2" name="AutoShape 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Arrowheads="1" noChangeShapeType="1"/>
                      </wps:cNvCnPr>
                      <wps:spPr bwMode="auto">
                        <a:xfrm>
                          <a:off x="0" y="0"/>
                          <a:ext cx="635000" cy="635000"/>
                        </a:xfrm>
                        <a:prstGeom prst="straightConnector1">
                          <a:avLst/>
                        </a:prstGeom>
                        <a:noFill/>
                        <a:ln w="9525">
                          <a:solidFill>
                            <a:srgbClr val="000000"/>
                          </a:solidFill>
                          <a:round/>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w:pict>
              <v:shapetype w14:anchorId="376E1E5E" id="_x0000_t32" coordsize="21600,21600" o:spt="32" o:oned="t" path="m,l21600,21600e" filled="f">
                <v:path arrowok="t" fillok="f" o:connecttype="none"/>
                <o:lock v:ext="edit" shapetype="t"/>
              </v:shapetype>
              <v:shape id="AutoShape 6" o:spid="_x0000_s1026" type="#_x0000_t32" style="position:absolute;margin-left:0;margin-top:0;width:50pt;height:50pt;z-index:10;visibility:hidden;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">
                <v:path arrowok="f"/>
                <o:lock v:ext="edit" aspectratio="t"/>
              </v:shape>
            </w:pict>
          </mc:Fallback>
        </mc:AlternateContent>
      </w:r>
    </w:p>
    <w:p w14:paraId="1D35A94D" w14:textId="087C08F2" w:rsidR="004C3AB8" w:rsidRDefault="004C3AB8">
      <w:pPr>
        <w:tabs>
          <w:tab w:val="right" w:leader="dot" w:pos="8640"/>
        </w:tabs>
        <w:jc w:val="center"/>
        <w:rPr>
          <w:rFonts w:ascii="Times New Roman" w:hAnsi="Times New Roman" w:cs="Times New Roman"/>
          <w:b/>
          <w:bCs/>
          <w:color w:val="auto"/>
          <w:sz w:val="28"/>
          <w:szCs w:val="28"/>
        </w:rPr>
      </w:pPr>
    </w:p>
    <w:p w14:paraId="241E0026" w14:textId="78A997E8" w:rsidR="005175ED" w:rsidRPr="003270BB" w:rsidRDefault="00336E93">
      <w:pPr>
        <w:tabs>
          <w:tab w:val="right" w:leader="dot" w:pos="8640"/>
        </w:tabs>
        <w:jc w:val="center"/>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HỘI ĐỒNG NHÂN DÂN TỈNH TÂY NINH</w:t>
      </w:r>
    </w:p>
    <w:p w14:paraId="2DF8697A" w14:textId="313E4E87" w:rsidR="005175ED" w:rsidRPr="003270BB" w:rsidRDefault="00336E93">
      <w:pPr>
        <w:tabs>
          <w:tab w:val="right" w:leader="dot" w:pos="8640"/>
        </w:tabs>
        <w:jc w:val="center"/>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 xml:space="preserve">KHÓA </w:t>
      </w:r>
      <w:r w:rsidR="00B25BBB" w:rsidRPr="003270BB">
        <w:rPr>
          <w:rFonts w:ascii="Times New Roman" w:hAnsi="Times New Roman" w:cs="Times New Roman"/>
          <w:b/>
          <w:bCs/>
          <w:color w:val="auto"/>
          <w:sz w:val="28"/>
          <w:szCs w:val="28"/>
        </w:rPr>
        <w:t>X</w:t>
      </w:r>
      <w:r w:rsidRPr="003270BB">
        <w:rPr>
          <w:rFonts w:ascii="Times New Roman" w:hAnsi="Times New Roman" w:cs="Times New Roman"/>
          <w:b/>
          <w:bCs/>
          <w:color w:val="auto"/>
          <w:sz w:val="28"/>
          <w:szCs w:val="28"/>
        </w:rPr>
        <w:t xml:space="preserve">, KỲ HỌP THỨ </w:t>
      </w:r>
      <w:r w:rsidR="00B25BBB" w:rsidRPr="003270BB">
        <w:rPr>
          <w:rFonts w:ascii="Times New Roman" w:hAnsi="Times New Roman" w:cs="Times New Roman"/>
          <w:b/>
          <w:bCs/>
          <w:color w:val="auto"/>
          <w:sz w:val="28"/>
          <w:szCs w:val="28"/>
          <w:lang w:bidi="en-US"/>
        </w:rPr>
        <w:t>11</w:t>
      </w:r>
    </w:p>
    <w:p w14:paraId="2DF34596" w14:textId="77777777" w:rsidR="005175ED" w:rsidRPr="003270BB" w:rsidRDefault="005175ED">
      <w:pPr>
        <w:tabs>
          <w:tab w:val="right" w:leader="dot" w:pos="8640"/>
        </w:tabs>
        <w:jc w:val="center"/>
        <w:rPr>
          <w:rFonts w:ascii="Times New Roman" w:hAnsi="Times New Roman" w:cs="Times New Roman"/>
          <w:b/>
          <w:bCs/>
          <w:color w:val="auto"/>
          <w:sz w:val="28"/>
          <w:szCs w:val="28"/>
        </w:rPr>
      </w:pPr>
    </w:p>
    <w:p w14:paraId="68C16448" w14:textId="77777777" w:rsidR="005175ED" w:rsidRPr="003270BB" w:rsidRDefault="00336E93" w:rsidP="004C3AB8">
      <w:pPr>
        <w:tabs>
          <w:tab w:val="left" w:pos="709"/>
          <w:tab w:val="right" w:leader="dot" w:pos="8640"/>
        </w:tabs>
        <w:spacing w:before="60" w:after="60"/>
        <w:ind w:firstLine="709"/>
        <w:jc w:val="both"/>
        <w:rPr>
          <w:rFonts w:ascii="Times New Roman" w:hAnsi="Times New Roman" w:cs="Times New Roman"/>
          <w:i/>
          <w:iCs/>
          <w:color w:val="auto"/>
          <w:sz w:val="28"/>
          <w:szCs w:val="28"/>
        </w:rPr>
      </w:pPr>
      <w:r w:rsidRPr="003270BB">
        <w:rPr>
          <w:rFonts w:ascii="Times New Roman" w:hAnsi="Times New Roman" w:cs="Times New Roman"/>
          <w:i/>
          <w:iCs/>
          <w:color w:val="auto"/>
          <w:sz w:val="28"/>
          <w:szCs w:val="28"/>
        </w:rPr>
        <w:t>Căn cứ Luật Tổ chức chính quyền địa phương ngày 19 tháng 5 năm 2015;</w:t>
      </w:r>
    </w:p>
    <w:p w14:paraId="5E31015C" w14:textId="77777777" w:rsidR="005175ED" w:rsidRPr="003270BB" w:rsidRDefault="00336E93" w:rsidP="004C3AB8">
      <w:pPr>
        <w:tabs>
          <w:tab w:val="left" w:pos="709"/>
          <w:tab w:val="right" w:leader="dot" w:pos="8640"/>
        </w:tabs>
        <w:spacing w:before="60" w:after="60"/>
        <w:jc w:val="both"/>
        <w:rPr>
          <w:rFonts w:ascii="Times New Roman" w:hAnsi="Times New Roman" w:cs="Times New Roman"/>
          <w:i/>
          <w:iCs/>
          <w:color w:val="auto"/>
          <w:sz w:val="28"/>
          <w:szCs w:val="28"/>
        </w:rPr>
      </w:pPr>
      <w:r w:rsidRPr="003270BB">
        <w:rPr>
          <w:rFonts w:ascii="Times New Roman" w:hAnsi="Times New Roman" w:cs="Times New Roman"/>
          <w:i/>
          <w:iCs/>
          <w:color w:val="auto"/>
          <w:sz w:val="28"/>
          <w:szCs w:val="28"/>
        </w:rPr>
        <w:tab/>
        <w:t>Căn cứ Luật sửa đổi, bổ sung một số điều của Luật Tổ chức Chính phủ và Luật Tổ chức chính quyền địa phương ngày 22 tháng 11 năm 2019;</w:t>
      </w:r>
    </w:p>
    <w:p w14:paraId="665174ED" w14:textId="77777777" w:rsidR="005175ED" w:rsidRPr="003270BB" w:rsidRDefault="00336E93" w:rsidP="004C3AB8">
      <w:pPr>
        <w:spacing w:before="60" w:after="60"/>
        <w:ind w:firstLine="709"/>
        <w:jc w:val="both"/>
        <w:rPr>
          <w:rFonts w:ascii="Times New Roman" w:hAnsi="Times New Roman" w:cs="Times New Roman"/>
          <w:i/>
          <w:iCs/>
          <w:color w:val="auto"/>
          <w:sz w:val="28"/>
          <w:szCs w:val="28"/>
        </w:rPr>
      </w:pPr>
      <w:r w:rsidRPr="003270BB">
        <w:rPr>
          <w:rFonts w:ascii="Times New Roman" w:hAnsi="Times New Roman" w:cs="Times New Roman"/>
          <w:i/>
          <w:iCs/>
          <w:color w:val="auto"/>
          <w:sz w:val="28"/>
          <w:szCs w:val="28"/>
        </w:rPr>
        <w:t>Căn cứ Luật Phòng, chống mua bán người ngày 29 tháng 3 năm 2011;</w:t>
      </w:r>
    </w:p>
    <w:p w14:paraId="5DFF8801" w14:textId="1B7325D0" w:rsidR="005175ED" w:rsidRPr="003270BB" w:rsidRDefault="00551468" w:rsidP="004C3AB8">
      <w:pPr>
        <w:pStyle w:val="NormalWeb"/>
        <w:spacing w:before="60" w:beforeAutospacing="0" w:after="60" w:afterAutospacing="0"/>
        <w:ind w:firstLine="692"/>
        <w:jc w:val="both"/>
        <w:rPr>
          <w:i/>
          <w:iCs/>
          <w:sz w:val="28"/>
          <w:szCs w:val="28"/>
          <w:lang w:val="vi-VN"/>
        </w:rPr>
      </w:pPr>
      <w:r w:rsidRPr="003270BB">
        <w:rPr>
          <w:i/>
          <w:iCs/>
          <w:sz w:val="28"/>
          <w:szCs w:val="28"/>
          <w:lang w:val="vi-VN"/>
        </w:rPr>
        <w:t>Căn cứ Luật Ngân sách n</w:t>
      </w:r>
      <w:r w:rsidR="00336E93" w:rsidRPr="003270BB">
        <w:rPr>
          <w:i/>
          <w:iCs/>
          <w:sz w:val="28"/>
          <w:szCs w:val="28"/>
          <w:lang w:val="vi-VN"/>
        </w:rPr>
        <w:t>hà nước ngày 25 tháng 6 năm 2015;</w:t>
      </w:r>
    </w:p>
    <w:p w14:paraId="2F117B63" w14:textId="77777777" w:rsidR="005175ED" w:rsidRPr="003270BB" w:rsidRDefault="00336E93" w:rsidP="004C3AB8">
      <w:pPr>
        <w:pStyle w:val="Heading3"/>
        <w:spacing w:before="60" w:after="60"/>
        <w:ind w:firstLine="709"/>
        <w:jc w:val="both"/>
        <w:rPr>
          <w:i/>
          <w:iCs/>
        </w:rPr>
      </w:pPr>
      <w:r w:rsidRPr="003270BB">
        <w:rPr>
          <w:b w:val="0"/>
          <w:bCs w:val="0"/>
          <w:i/>
          <w:iCs/>
        </w:rPr>
        <w:t xml:space="preserve">Căn cứ Nghị định số 09/2013/NĐ-CP ngày 11 tháng 01 năm 2013 của Chính phủ quy định chi tiết thi hành một số điều của Luật Phòng, chống mua bán người; </w:t>
      </w:r>
    </w:p>
    <w:p w14:paraId="4CB74374" w14:textId="77777777" w:rsidR="005175ED" w:rsidRPr="003270BB" w:rsidRDefault="00336E93" w:rsidP="004C3AB8">
      <w:pPr>
        <w:pStyle w:val="Heading3"/>
        <w:spacing w:before="60" w:after="60"/>
        <w:ind w:firstLine="709"/>
        <w:jc w:val="both"/>
        <w:rPr>
          <w:i/>
          <w:iCs/>
        </w:rPr>
      </w:pPr>
      <w:r w:rsidRPr="003270BB">
        <w:rPr>
          <w:b w:val="0"/>
          <w:bCs w:val="0"/>
          <w:i/>
          <w:iCs/>
        </w:rPr>
        <w:t>Căn cứ Thông tư số 84/2019/TT-BTC ngày 27 tháng 11 năm 2019 của Bộ trưởng Bộ Tài chính quy định nội dung, mức chi cho công tác hỗ trợ nạn nhân và nội dung, mức chi chế độ hỗ trợ nạn nhân quy định tại Nghị định số 09/2013/NĐ-CP ngày 11 tháng 01 năm 2013 của Chính phủ quy định chi tiết thi hành một số điều của Luật Phòng, chống mua bán người;</w:t>
      </w:r>
    </w:p>
    <w:p w14:paraId="2DA3A5B7" w14:textId="34F813BD" w:rsidR="005175ED" w:rsidRPr="003270BB" w:rsidRDefault="00336E93" w:rsidP="004C3AB8">
      <w:pPr>
        <w:spacing w:before="60" w:after="60"/>
        <w:ind w:firstLine="709"/>
        <w:jc w:val="both"/>
        <w:rPr>
          <w:rFonts w:ascii="Times New Roman" w:hAnsi="Times New Roman" w:cs="Times New Roman"/>
          <w:i/>
          <w:iCs/>
          <w:color w:val="auto"/>
          <w:sz w:val="28"/>
          <w:szCs w:val="28"/>
        </w:rPr>
      </w:pPr>
      <w:r w:rsidRPr="003270BB">
        <w:rPr>
          <w:rFonts w:ascii="Times New Roman" w:hAnsi="Times New Roman" w:cs="Times New Roman"/>
          <w:i/>
          <w:iCs/>
          <w:color w:val="auto"/>
          <w:sz w:val="28"/>
          <w:szCs w:val="28"/>
        </w:rPr>
        <w:t xml:space="preserve">Xét Tờ trình số </w:t>
      </w:r>
      <w:r w:rsidR="00DE0073" w:rsidRPr="003270BB">
        <w:rPr>
          <w:rFonts w:ascii="Times New Roman" w:hAnsi="Times New Roman" w:cs="Times New Roman"/>
          <w:i/>
          <w:iCs/>
          <w:color w:val="auto"/>
          <w:sz w:val="28"/>
          <w:szCs w:val="28"/>
        </w:rPr>
        <w:t>755</w:t>
      </w:r>
      <w:r w:rsidRPr="003270BB">
        <w:rPr>
          <w:rFonts w:ascii="Times New Roman" w:hAnsi="Times New Roman" w:cs="Times New Roman"/>
          <w:i/>
          <w:iCs/>
          <w:color w:val="auto"/>
          <w:sz w:val="28"/>
          <w:szCs w:val="28"/>
        </w:rPr>
        <w:t xml:space="preserve">/TTr-UBND ngày </w:t>
      </w:r>
      <w:r w:rsidR="00DE0073" w:rsidRPr="003270BB">
        <w:rPr>
          <w:rFonts w:ascii="Times New Roman" w:hAnsi="Times New Roman" w:cs="Times New Roman"/>
          <w:i/>
          <w:iCs/>
          <w:color w:val="auto"/>
          <w:sz w:val="28"/>
          <w:szCs w:val="28"/>
        </w:rPr>
        <w:t>15</w:t>
      </w:r>
      <w:r w:rsidRPr="003270BB">
        <w:rPr>
          <w:rFonts w:ascii="Times New Roman" w:hAnsi="Times New Roman" w:cs="Times New Roman"/>
          <w:i/>
          <w:iCs/>
          <w:color w:val="auto"/>
          <w:sz w:val="28"/>
          <w:szCs w:val="28"/>
        </w:rPr>
        <w:t xml:space="preserve"> tháng </w:t>
      </w:r>
      <w:r w:rsidR="00DE0073" w:rsidRPr="003270BB">
        <w:rPr>
          <w:rFonts w:ascii="Times New Roman" w:hAnsi="Times New Roman" w:cs="Times New Roman"/>
          <w:i/>
          <w:iCs/>
          <w:color w:val="auto"/>
          <w:sz w:val="28"/>
          <w:szCs w:val="28"/>
        </w:rPr>
        <w:t>3</w:t>
      </w:r>
      <w:r w:rsidRPr="003270BB">
        <w:rPr>
          <w:rFonts w:ascii="Times New Roman" w:hAnsi="Times New Roman" w:cs="Times New Roman"/>
          <w:i/>
          <w:iCs/>
          <w:color w:val="auto"/>
          <w:sz w:val="28"/>
          <w:szCs w:val="28"/>
        </w:rPr>
        <w:t xml:space="preserve"> năm 2024 của </w:t>
      </w:r>
      <w:r w:rsidR="00551468" w:rsidRPr="003270BB">
        <w:rPr>
          <w:rFonts w:ascii="Times New Roman" w:hAnsi="Times New Roman" w:cs="Times New Roman"/>
          <w:i/>
          <w:iCs/>
          <w:color w:val="auto"/>
          <w:sz w:val="28"/>
          <w:szCs w:val="28"/>
        </w:rPr>
        <w:t>Uỷ ban nhân dân</w:t>
      </w:r>
      <w:r w:rsidRPr="003270BB">
        <w:rPr>
          <w:rFonts w:ascii="Times New Roman" w:hAnsi="Times New Roman" w:cs="Times New Roman"/>
          <w:i/>
          <w:iCs/>
          <w:color w:val="auto"/>
          <w:sz w:val="28"/>
          <w:szCs w:val="28"/>
        </w:rPr>
        <w:t xml:space="preserve"> tỉnh về </w:t>
      </w:r>
      <w:r w:rsidR="00551468" w:rsidRPr="003270BB">
        <w:rPr>
          <w:rFonts w:ascii="Times New Roman" w:hAnsi="Times New Roman" w:cs="Times New Roman"/>
          <w:i/>
          <w:iCs/>
          <w:color w:val="auto"/>
          <w:sz w:val="28"/>
          <w:szCs w:val="28"/>
        </w:rPr>
        <w:t xml:space="preserve">dự thảo </w:t>
      </w:r>
      <w:r w:rsidRPr="003270BB">
        <w:rPr>
          <w:rFonts w:ascii="Times New Roman" w:hAnsi="Times New Roman" w:cs="Times New Roman"/>
          <w:i/>
          <w:iCs/>
          <w:color w:val="auto"/>
          <w:sz w:val="28"/>
          <w:szCs w:val="28"/>
        </w:rPr>
        <w:t xml:space="preserve">Nghị quyết quy định nội dung, mức chi hỗ trợ nạn nhân và công tác hỗ trợ nạn nhân bị mua bán trên địa bàn tỉnh Tây Ninh; Báo cáo thẩm tra của Ban Văn hoá </w:t>
      </w:r>
      <w:r w:rsidR="00DD026B">
        <w:rPr>
          <w:rFonts w:ascii="Times New Roman" w:hAnsi="Times New Roman" w:cs="Times New Roman"/>
          <w:i/>
          <w:iCs/>
          <w:color w:val="auto"/>
          <w:sz w:val="28"/>
          <w:szCs w:val="28"/>
          <w:lang w:val="en-US"/>
        </w:rPr>
        <w:t>-</w:t>
      </w:r>
      <w:r w:rsidRPr="003270BB">
        <w:rPr>
          <w:rFonts w:ascii="Times New Roman" w:hAnsi="Times New Roman" w:cs="Times New Roman"/>
          <w:i/>
          <w:iCs/>
          <w:color w:val="auto"/>
          <w:sz w:val="28"/>
          <w:szCs w:val="28"/>
        </w:rPr>
        <w:t xml:space="preserve"> Xã hộ</w:t>
      </w:r>
      <w:r w:rsidR="00551468" w:rsidRPr="003270BB">
        <w:rPr>
          <w:rFonts w:ascii="Times New Roman" w:hAnsi="Times New Roman" w:cs="Times New Roman"/>
          <w:i/>
          <w:iCs/>
          <w:color w:val="auto"/>
          <w:sz w:val="28"/>
          <w:szCs w:val="28"/>
        </w:rPr>
        <w:t xml:space="preserve">i </w:t>
      </w:r>
      <w:r w:rsidRPr="003270BB">
        <w:rPr>
          <w:rFonts w:ascii="Times New Roman" w:hAnsi="Times New Roman" w:cs="Times New Roman"/>
          <w:i/>
          <w:iCs/>
          <w:color w:val="auto"/>
          <w:sz w:val="28"/>
          <w:szCs w:val="28"/>
        </w:rPr>
        <w:t>Hội đồng nhân dân tỉnh; ý kiến thảo luận của đại biểu Hội đồng nhân dân tỉnh tại kỳ họp.</w:t>
      </w:r>
    </w:p>
    <w:p w14:paraId="7A191885" w14:textId="77777777" w:rsidR="005175ED" w:rsidRPr="003270BB" w:rsidRDefault="00336E93" w:rsidP="004C3AB8">
      <w:pPr>
        <w:tabs>
          <w:tab w:val="right" w:leader="dot" w:pos="7920"/>
        </w:tabs>
        <w:spacing w:before="240" w:after="240"/>
        <w:jc w:val="center"/>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QUYẾT NGHỊ:</w:t>
      </w:r>
    </w:p>
    <w:p w14:paraId="2FCEAB9D" w14:textId="77777777" w:rsidR="005175ED" w:rsidRPr="003270BB" w:rsidRDefault="00336E93" w:rsidP="004C3AB8">
      <w:pPr>
        <w:spacing w:before="120" w:after="120"/>
        <w:jc w:val="both"/>
        <w:rPr>
          <w:rFonts w:ascii="Times New Roman" w:hAnsi="Times New Roman" w:cs="Times New Roman"/>
          <w:b/>
          <w:bCs/>
          <w:color w:val="auto"/>
          <w:spacing w:val="-6"/>
          <w:sz w:val="28"/>
          <w:szCs w:val="28"/>
        </w:rPr>
      </w:pPr>
      <w:r w:rsidRPr="003270BB">
        <w:rPr>
          <w:rFonts w:ascii="Times New Roman" w:hAnsi="Times New Roman" w:cs="Times New Roman"/>
          <w:b/>
          <w:bCs/>
          <w:color w:val="auto"/>
          <w:sz w:val="28"/>
          <w:szCs w:val="28"/>
        </w:rPr>
        <w:tab/>
        <w:t xml:space="preserve">Điều </w:t>
      </w:r>
      <w:r w:rsidRPr="003270BB">
        <w:rPr>
          <w:rFonts w:ascii="Times New Roman" w:hAnsi="Times New Roman" w:cs="Times New Roman"/>
          <w:b/>
          <w:bCs/>
          <w:color w:val="auto"/>
          <w:sz w:val="28"/>
          <w:szCs w:val="28"/>
          <w:lang w:val="nl-NL"/>
        </w:rPr>
        <w:t>1</w:t>
      </w:r>
      <w:r w:rsidRPr="003270BB">
        <w:rPr>
          <w:rFonts w:ascii="Times New Roman" w:hAnsi="Times New Roman" w:cs="Times New Roman"/>
          <w:b/>
          <w:bCs/>
          <w:color w:val="auto"/>
          <w:sz w:val="28"/>
          <w:szCs w:val="28"/>
        </w:rPr>
        <w:t xml:space="preserve">. </w:t>
      </w:r>
      <w:r w:rsidRPr="003270BB">
        <w:rPr>
          <w:rFonts w:ascii="Times New Roman" w:hAnsi="Times New Roman" w:cs="Times New Roman"/>
          <w:b/>
          <w:bCs/>
          <w:color w:val="auto"/>
          <w:spacing w:val="-6"/>
          <w:sz w:val="28"/>
          <w:szCs w:val="28"/>
        </w:rPr>
        <w:t>Phạm vi điều chỉnh và đối tượng áp dụng</w:t>
      </w:r>
    </w:p>
    <w:p w14:paraId="269A8545" w14:textId="7777777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nl-NL"/>
        </w:rPr>
        <w:t xml:space="preserve">1. </w:t>
      </w:r>
      <w:r w:rsidRPr="003270BB">
        <w:rPr>
          <w:rFonts w:ascii="Times New Roman" w:hAnsi="Times New Roman" w:cs="Times New Roman"/>
          <w:color w:val="auto"/>
          <w:sz w:val="28"/>
          <w:szCs w:val="28"/>
        </w:rPr>
        <w:t>Ph</w:t>
      </w:r>
      <w:r w:rsidRPr="003270BB">
        <w:rPr>
          <w:rFonts w:ascii="Times New Roman" w:hAnsi="Times New Roman" w:cs="Times New Roman"/>
          <w:color w:val="auto"/>
          <w:sz w:val="28"/>
          <w:szCs w:val="28"/>
          <w:lang w:val="nl-NL"/>
        </w:rPr>
        <w:t>ạ</w:t>
      </w:r>
      <w:r w:rsidRPr="003270BB">
        <w:rPr>
          <w:rFonts w:ascii="Times New Roman" w:hAnsi="Times New Roman" w:cs="Times New Roman"/>
          <w:color w:val="auto"/>
          <w:sz w:val="28"/>
          <w:szCs w:val="28"/>
        </w:rPr>
        <w:t>m vi điều chỉnh</w:t>
      </w:r>
    </w:p>
    <w:p w14:paraId="10F77CBD" w14:textId="25B0C93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nl-NL"/>
        </w:rPr>
        <w:t xml:space="preserve">a) Nghị quyết </w:t>
      </w:r>
      <w:r w:rsidRPr="003270BB">
        <w:rPr>
          <w:rFonts w:ascii="Times New Roman" w:hAnsi="Times New Roman" w:cs="Times New Roman"/>
          <w:color w:val="auto"/>
          <w:sz w:val="28"/>
          <w:szCs w:val="28"/>
        </w:rPr>
        <w:t xml:space="preserve">này quy định </w:t>
      </w:r>
      <w:r w:rsidR="00551468" w:rsidRPr="003270BB">
        <w:rPr>
          <w:rFonts w:ascii="Times New Roman" w:hAnsi="Times New Roman" w:cs="Times New Roman"/>
          <w:color w:val="auto"/>
          <w:sz w:val="28"/>
          <w:szCs w:val="28"/>
        </w:rPr>
        <w:t xml:space="preserve">một số </w:t>
      </w:r>
      <w:r w:rsidRPr="003270BB">
        <w:rPr>
          <w:rFonts w:ascii="Times New Roman" w:hAnsi="Times New Roman" w:cs="Times New Roman"/>
          <w:color w:val="auto"/>
          <w:sz w:val="28"/>
          <w:szCs w:val="28"/>
          <w:lang w:val="nl-NL"/>
        </w:rPr>
        <w:t>nội dung, mức chi hỗ trợ nạn nhân và công tác hỗ trợ nạn nhân bị mua bán trên địa bàn tỉnh Tây Ninh.</w:t>
      </w:r>
    </w:p>
    <w:p w14:paraId="01791BE1" w14:textId="77777777" w:rsidR="005175ED" w:rsidRPr="003270BB" w:rsidRDefault="00336E93" w:rsidP="004C3AB8">
      <w:pPr>
        <w:spacing w:before="120" w:after="120"/>
        <w:ind w:firstLine="709"/>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nl-NL"/>
        </w:rPr>
        <w:t xml:space="preserve">b) </w:t>
      </w:r>
      <w:r w:rsidRPr="003270BB">
        <w:rPr>
          <w:rFonts w:ascii="Times New Roman" w:hAnsi="Times New Roman" w:cs="Times New Roman"/>
          <w:color w:val="auto"/>
          <w:sz w:val="28"/>
          <w:szCs w:val="28"/>
        </w:rPr>
        <w:t xml:space="preserve">Những nội dung, mức chi không được quy định tại Nghị quyết này thì thực hiện theo quy định tại Thông tư số 84/2019/TT-BTC ngày 27 tháng 11 năm 2019 của Bộ trưởng Bộ Tài chính quy định nội dung, mức chi cho công tác hỗ trợ </w:t>
      </w:r>
      <w:r w:rsidRPr="003270BB">
        <w:rPr>
          <w:rFonts w:ascii="Times New Roman" w:hAnsi="Times New Roman" w:cs="Times New Roman"/>
          <w:color w:val="auto"/>
          <w:sz w:val="28"/>
          <w:szCs w:val="28"/>
        </w:rPr>
        <w:lastRenderedPageBreak/>
        <w:t>nạn nhân và nội dung, mức chi chế độ hỗ trợ nạn nhân quy định tại Nghị định số 09/2013/NĐ-CP ngày 11 tháng 01 năm 2013 của Chính phủ quy định chi tiết thi hành một số điều của Luật Phòng, chống mua bán người.</w:t>
      </w:r>
    </w:p>
    <w:p w14:paraId="1E2F4994"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2. Đối tượng áp dụng</w:t>
      </w:r>
    </w:p>
    <w:p w14:paraId="17266725"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nl-NL"/>
        </w:rPr>
        <w:tab/>
        <w:t>a) Nạn nhân là công dân Việt Nam, người không quốc tịch thường trú ở Việt Nam, người nước ngoài bị mua bán tại Việt Nam.</w:t>
      </w:r>
    </w:p>
    <w:p w14:paraId="374FB425"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lang w:val="nl-NL"/>
        </w:rPr>
      </w:pPr>
      <w:r w:rsidRPr="003270BB">
        <w:rPr>
          <w:rFonts w:ascii="Times New Roman" w:hAnsi="Times New Roman" w:cs="Times New Roman"/>
          <w:color w:val="auto"/>
          <w:sz w:val="28"/>
          <w:szCs w:val="28"/>
          <w:lang w:val="nl-NL"/>
        </w:rPr>
        <w:tab/>
        <w:t>b) Người trong thời gian chờ xác minh là nạn nhân theo quy định tại Điều 24, 25 Luật Phòng, chống mua bán người.</w:t>
      </w:r>
    </w:p>
    <w:p w14:paraId="07BECC65"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lang w:val="nl-NL"/>
        </w:rPr>
      </w:pPr>
      <w:r w:rsidRPr="003270BB">
        <w:rPr>
          <w:rFonts w:ascii="Times New Roman" w:hAnsi="Times New Roman" w:cs="Times New Roman"/>
          <w:color w:val="auto"/>
          <w:sz w:val="28"/>
          <w:szCs w:val="28"/>
          <w:lang w:val="nl-NL"/>
        </w:rPr>
        <w:tab/>
        <w:t>c) Người chưa thành niên đi cùng nạn nhân.</w:t>
      </w:r>
    </w:p>
    <w:p w14:paraId="3DB3EB80"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lang w:val="nl-NL"/>
        </w:rPr>
      </w:pPr>
      <w:r w:rsidRPr="003270BB">
        <w:rPr>
          <w:rFonts w:ascii="Times New Roman" w:hAnsi="Times New Roman" w:cs="Times New Roman"/>
          <w:color w:val="auto"/>
          <w:sz w:val="28"/>
          <w:szCs w:val="28"/>
          <w:lang w:val="nl-NL"/>
        </w:rPr>
        <w:tab/>
        <w:t>d) Các cơ quan, đơn vị, tổ chức, cá nhân sử dụng kinh phí từ ngân sách nhà nước để thực hiện nhiệm vụ hỗ trợ nạn nhân và chế độ hỗ trợ nạn nhân.</w:t>
      </w:r>
    </w:p>
    <w:p w14:paraId="3A5E58CE" w14:textId="77777777" w:rsidR="005175ED" w:rsidRPr="003270BB" w:rsidRDefault="00336E93" w:rsidP="004C3AB8">
      <w:pPr>
        <w:spacing w:before="120" w:after="120"/>
        <w:jc w:val="both"/>
        <w:rPr>
          <w:rFonts w:ascii="Times New Roman" w:hAnsi="Times New Roman" w:cs="Times New Roman"/>
          <w:b/>
          <w:bCs/>
          <w:color w:val="auto"/>
          <w:spacing w:val="-6"/>
          <w:sz w:val="28"/>
          <w:szCs w:val="28"/>
          <w:lang w:val="nl-NL"/>
        </w:rPr>
      </w:pPr>
      <w:r w:rsidRPr="003270BB">
        <w:rPr>
          <w:rFonts w:ascii="Times New Roman" w:hAnsi="Times New Roman" w:cs="Times New Roman"/>
          <w:b/>
          <w:bCs/>
          <w:color w:val="auto"/>
          <w:sz w:val="28"/>
          <w:szCs w:val="28"/>
          <w:lang w:val="nl-NL"/>
        </w:rPr>
        <w:tab/>
        <w:t>Điều 2.</w:t>
      </w:r>
      <w:r w:rsidRPr="003270BB">
        <w:rPr>
          <w:rFonts w:ascii="Times New Roman" w:hAnsi="Times New Roman" w:cs="Times New Roman"/>
          <w:color w:val="auto"/>
          <w:sz w:val="28"/>
          <w:szCs w:val="28"/>
          <w:lang w:val="nl-NL"/>
        </w:rPr>
        <w:t xml:space="preserve"> </w:t>
      </w:r>
      <w:r w:rsidRPr="003270BB">
        <w:rPr>
          <w:rFonts w:ascii="Times New Roman" w:hAnsi="Times New Roman" w:cs="Times New Roman"/>
          <w:b/>
          <w:bCs/>
          <w:color w:val="auto"/>
          <w:sz w:val="28"/>
          <w:szCs w:val="28"/>
          <w:lang w:val="nl-NL"/>
        </w:rPr>
        <w:t>N</w:t>
      </w:r>
      <w:r w:rsidRPr="003270BB">
        <w:rPr>
          <w:rFonts w:ascii="Times New Roman" w:hAnsi="Times New Roman" w:cs="Times New Roman"/>
          <w:b/>
          <w:bCs/>
          <w:color w:val="auto"/>
          <w:spacing w:val="-6"/>
          <w:sz w:val="28"/>
          <w:szCs w:val="28"/>
          <w:lang w:val="nl-NL"/>
        </w:rPr>
        <w:t xml:space="preserve">ội dung, </w:t>
      </w:r>
      <w:r w:rsidRPr="003270BB">
        <w:rPr>
          <w:rFonts w:ascii="Times New Roman" w:hAnsi="Times New Roman" w:cs="Times New Roman"/>
          <w:b/>
          <w:bCs/>
          <w:color w:val="auto"/>
          <w:spacing w:val="-6"/>
          <w:sz w:val="28"/>
          <w:szCs w:val="28"/>
        </w:rPr>
        <w:t xml:space="preserve">mức chi </w:t>
      </w:r>
      <w:r w:rsidRPr="003270BB">
        <w:rPr>
          <w:rFonts w:ascii="Times New Roman" w:hAnsi="Times New Roman" w:cs="Times New Roman"/>
          <w:b/>
          <w:bCs/>
          <w:color w:val="auto"/>
          <w:spacing w:val="-6"/>
          <w:sz w:val="28"/>
          <w:szCs w:val="28"/>
          <w:lang w:val="nl-NL"/>
        </w:rPr>
        <w:t xml:space="preserve">cho công tác </w:t>
      </w:r>
      <w:r w:rsidRPr="003270BB">
        <w:rPr>
          <w:rFonts w:ascii="Times New Roman" w:hAnsi="Times New Roman" w:cs="Times New Roman"/>
          <w:b/>
          <w:bCs/>
          <w:color w:val="auto"/>
          <w:spacing w:val="-6"/>
          <w:sz w:val="28"/>
          <w:szCs w:val="28"/>
        </w:rPr>
        <w:t>hỗ trợ nạn nhân</w:t>
      </w:r>
      <w:r w:rsidRPr="003270BB">
        <w:rPr>
          <w:rFonts w:ascii="Times New Roman" w:hAnsi="Times New Roman" w:cs="Times New Roman"/>
          <w:b/>
          <w:bCs/>
          <w:color w:val="auto"/>
          <w:spacing w:val="-6"/>
          <w:sz w:val="28"/>
          <w:szCs w:val="28"/>
          <w:lang w:val="nl-NL" w:bidi="en-US"/>
        </w:rPr>
        <w:t>.</w:t>
      </w:r>
    </w:p>
    <w:p w14:paraId="50819F5E"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lang w:val="nl-NL"/>
        </w:rPr>
      </w:pPr>
      <w:r w:rsidRPr="003270BB">
        <w:rPr>
          <w:rFonts w:ascii="Times New Roman" w:hAnsi="Times New Roman" w:cs="Times New Roman"/>
          <w:color w:val="auto"/>
          <w:sz w:val="28"/>
          <w:szCs w:val="28"/>
          <w:lang w:val="nl-NL"/>
        </w:rPr>
        <w:tab/>
        <w:t>1. Chi công tác phí cho cán bộ phục vụ hoạt động xác minh, tiếp nhận, giải cứu, bảo vệ và vận chuyển nạn nhân; tổ chức hội nghị, hội thảo, tập huấn nghiệp vụ; kiểm tra công tác hỗ trợ nạn nhân: Nội dung và mức chi thực hiện theo quy định tại Nghị quyết số 04/2018/NQ-HĐND ngày 29 tháng 3 năm 2018 của Hội đồng nhân dân tỉnh Tây Ninh quy định mức chi công tác phí, chi hội nghị trên địa bàn tỉnh Tây Ninh.</w:t>
      </w:r>
    </w:p>
    <w:p w14:paraId="17CBAC66" w14:textId="77C99079" w:rsidR="005175ED" w:rsidRPr="003270BB" w:rsidRDefault="00336E93" w:rsidP="004C3AB8">
      <w:pPr>
        <w:tabs>
          <w:tab w:val="left" w:pos="709"/>
        </w:tabs>
        <w:spacing w:before="120" w:after="120"/>
        <w:jc w:val="both"/>
        <w:rPr>
          <w:rFonts w:ascii="Times New Roman" w:hAnsi="Times New Roman" w:cs="Times New Roman"/>
          <w:color w:val="auto"/>
          <w:sz w:val="28"/>
          <w:szCs w:val="28"/>
          <w:lang w:val="nl-NL"/>
        </w:rPr>
      </w:pPr>
      <w:r w:rsidRPr="003270BB">
        <w:rPr>
          <w:rFonts w:ascii="Times New Roman" w:hAnsi="Times New Roman" w:cs="Times New Roman"/>
          <w:color w:val="auto"/>
          <w:sz w:val="28"/>
          <w:szCs w:val="28"/>
          <w:lang w:val="nl-NL"/>
        </w:rPr>
        <w:tab/>
        <w:t>2. Chi hợp tác quốc tế trong việc tiếp nhận, xác minh nạ</w:t>
      </w:r>
      <w:r w:rsidR="00551468" w:rsidRPr="003270BB">
        <w:rPr>
          <w:rFonts w:ascii="Times New Roman" w:hAnsi="Times New Roman" w:cs="Times New Roman"/>
          <w:color w:val="auto"/>
          <w:sz w:val="28"/>
          <w:szCs w:val="28"/>
          <w:lang w:val="nl-NL"/>
        </w:rPr>
        <w:t>n nhân: T</w:t>
      </w:r>
      <w:r w:rsidRPr="003270BB">
        <w:rPr>
          <w:rFonts w:ascii="Times New Roman" w:hAnsi="Times New Roman" w:cs="Times New Roman"/>
          <w:color w:val="auto"/>
          <w:sz w:val="28"/>
          <w:szCs w:val="28"/>
          <w:lang w:val="nl-NL"/>
        </w:rPr>
        <w:t xml:space="preserve">hực hiện theo </w:t>
      </w:r>
      <w:r w:rsidRPr="003270BB">
        <w:rPr>
          <w:rFonts w:ascii="Times New Roman" w:hAnsi="Times New Roman" w:cs="Times New Roman"/>
          <w:color w:val="auto"/>
          <w:sz w:val="28"/>
          <w:szCs w:val="28"/>
        </w:rPr>
        <w:t xml:space="preserve">Nghị quyết số 04/2019/NQ-HĐND ngày 11 tháng 7 năm 2019 của </w:t>
      </w:r>
      <w:r w:rsidR="00551468" w:rsidRPr="003270BB">
        <w:rPr>
          <w:rFonts w:ascii="Times New Roman" w:hAnsi="Times New Roman" w:cs="Times New Roman"/>
          <w:color w:val="auto"/>
          <w:sz w:val="28"/>
          <w:szCs w:val="28"/>
          <w:lang w:val="nl-NL"/>
        </w:rPr>
        <w:t>Hội đồng nhân dân</w:t>
      </w:r>
      <w:r w:rsidRPr="003270BB">
        <w:rPr>
          <w:rFonts w:ascii="Times New Roman" w:hAnsi="Times New Roman" w:cs="Times New Roman"/>
          <w:color w:val="auto"/>
          <w:sz w:val="28"/>
          <w:szCs w:val="28"/>
        </w:rPr>
        <w:t xml:space="preserve"> tỉnh Tây Ninh về chế độ tiếp khách nước ngoài vào làm việc tại Tây Ninh, chế độ chi tổ chức hội nghị quốc tế tại Tây Ninh và chế độ tiếp khách trong nước trên địa bàn tỉnh Tây Ninh</w:t>
      </w:r>
      <w:r w:rsidR="00551468" w:rsidRPr="003270BB">
        <w:rPr>
          <w:rFonts w:ascii="Times New Roman" w:hAnsi="Times New Roman" w:cs="Times New Roman"/>
          <w:color w:val="auto"/>
          <w:sz w:val="28"/>
          <w:szCs w:val="28"/>
          <w:lang w:val="nl-NL"/>
        </w:rPr>
        <w:t>.</w:t>
      </w:r>
    </w:p>
    <w:p w14:paraId="7BA170F6" w14:textId="77777777" w:rsidR="005175ED" w:rsidRPr="003270BB" w:rsidRDefault="00336E93" w:rsidP="004C3AB8">
      <w:pPr>
        <w:tabs>
          <w:tab w:val="left" w:pos="709"/>
        </w:tabs>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nl-NL"/>
        </w:rPr>
        <w:tab/>
        <w:t>3.</w:t>
      </w:r>
      <w:r w:rsidRPr="003270BB">
        <w:rPr>
          <w:rFonts w:ascii="Times New Roman" w:hAnsi="Times New Roman" w:cs="Times New Roman"/>
          <w:color w:val="auto"/>
          <w:sz w:val="28"/>
          <w:szCs w:val="28"/>
        </w:rPr>
        <w:t xml:space="preserve"> Chi hỗ trợ người không hưởng lương từ ngân sách nhà nước trực tiếp tham gia quản lý, bảo vệ nạn nhân. Mức chi 200.000 đồng/người/ngày.</w:t>
      </w:r>
    </w:p>
    <w:p w14:paraId="7B777823" w14:textId="77777777" w:rsidR="005175ED" w:rsidRPr="003270BB" w:rsidRDefault="00336E93" w:rsidP="004C3AB8">
      <w:pPr>
        <w:spacing w:before="120" w:after="120"/>
        <w:ind w:firstLine="720"/>
        <w:jc w:val="both"/>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 xml:space="preserve">Điều 3. Nội dung, mức chi chế độ hỗ trợ trực tiếp cho </w:t>
      </w:r>
      <w:r w:rsidRPr="003270BB">
        <w:rPr>
          <w:rFonts w:ascii="Times New Roman" w:hAnsi="Times New Roman" w:cs="Times New Roman"/>
          <w:b/>
          <w:bCs/>
          <w:color w:val="auto"/>
          <w:sz w:val="28"/>
          <w:szCs w:val="28"/>
          <w:lang w:bidi="en-US"/>
        </w:rPr>
        <w:t xml:space="preserve">đối tượng được quy định tại điểm a, b, c khoản 2, Điều 1 (gọi chung là </w:t>
      </w:r>
      <w:r w:rsidRPr="003270BB">
        <w:rPr>
          <w:rFonts w:ascii="Times New Roman" w:hAnsi="Times New Roman" w:cs="Times New Roman"/>
          <w:b/>
          <w:bCs/>
          <w:color w:val="auto"/>
          <w:sz w:val="28"/>
          <w:szCs w:val="28"/>
        </w:rPr>
        <w:t>nạn nhân</w:t>
      </w:r>
      <w:r w:rsidRPr="003270BB">
        <w:rPr>
          <w:rFonts w:ascii="Times New Roman" w:hAnsi="Times New Roman" w:cs="Times New Roman"/>
          <w:b/>
          <w:bCs/>
          <w:color w:val="auto"/>
          <w:sz w:val="28"/>
          <w:szCs w:val="28"/>
          <w:lang w:bidi="en-US"/>
        </w:rPr>
        <w:t>)</w:t>
      </w:r>
    </w:p>
    <w:p w14:paraId="3148D0C6" w14:textId="1B39F18B"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1. Chi hỗ trợ nhu cầu thiết yếu và chi phí đi lạ</w:t>
      </w:r>
      <w:r w:rsidRPr="003270BB">
        <w:rPr>
          <w:rFonts w:ascii="Times New Roman" w:hAnsi="Times New Roman" w:cs="Times New Roman"/>
          <w:color w:val="auto"/>
          <w:sz w:val="28"/>
          <w:szCs w:val="28"/>
          <w:lang w:bidi="en-US"/>
        </w:rPr>
        <w:t>i</w:t>
      </w:r>
    </w:p>
    <w:p w14:paraId="517E11B9" w14:textId="25FBC33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 xml:space="preserve">a) Hỗ trợ tiền ăn, quần áo, vật dụng sinh hoạt cá nhân cần thiết trong thời gian nạn nhân tạm trú tại cơ sở bảo trợ xã hội, cơ sở hỗ trợ nạn nhân (sau đây gọi tắt là cơ sở), thời gian hỗ trợ không quá 03 tháng. Cụ thể: </w:t>
      </w:r>
    </w:p>
    <w:p w14:paraId="6C7ABF38" w14:textId="7777777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Tiền ăn đối với trẻ em dưới 4 tuổi: 60.000 đồng/trẻ/ngày.</w:t>
      </w:r>
    </w:p>
    <w:p w14:paraId="3C06BF74" w14:textId="7777777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Tiền ăn đối với đối tượng từ đủ 4 tuổi trở lên: 48.000 đồng/người/ngày.</w:t>
      </w:r>
    </w:p>
    <w:p w14:paraId="69EBA592" w14:textId="38F81B5C"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Quần áo, vật dụng sinh hoạt cá nhân cần thiết: 400.000 đồng/lần/ngườ</w:t>
      </w:r>
      <w:r w:rsidR="00551468" w:rsidRPr="003270BB">
        <w:rPr>
          <w:rFonts w:ascii="Times New Roman" w:hAnsi="Times New Roman" w:cs="Times New Roman"/>
          <w:color w:val="auto"/>
          <w:sz w:val="28"/>
          <w:szCs w:val="28"/>
        </w:rPr>
        <w:t>i.</w:t>
      </w:r>
    </w:p>
    <w:p w14:paraId="103BC97A" w14:textId="77777777" w:rsidR="005175ED" w:rsidRPr="003270BB" w:rsidRDefault="00336E93" w:rsidP="00DD026B">
      <w:pPr>
        <w:spacing w:before="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b) Chi tiền tàu xe và tiền ăn cho nạn nhân có nguyện vọng trở về nơi cư trú nhưng không có khả năng chi trả.</w:t>
      </w:r>
    </w:p>
    <w:p w14:paraId="60AD1553" w14:textId="77777777" w:rsidR="005175ED" w:rsidRPr="003270BB" w:rsidRDefault="00336E93" w:rsidP="00DD026B">
      <w:pPr>
        <w:spacing w:before="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 xml:space="preserve">Tiền tàu xe: Mức chi theo giá phương tiện công cộng phổ thông. Trường hợp nạn nhân là người chưa thành niên, cơ quan, đơn vị tiếp nhận, giải cứu, hỗ </w:t>
      </w:r>
      <w:r w:rsidRPr="003270BB">
        <w:rPr>
          <w:rFonts w:ascii="Times New Roman" w:hAnsi="Times New Roman" w:cs="Times New Roman"/>
          <w:color w:val="auto"/>
          <w:sz w:val="28"/>
          <w:szCs w:val="28"/>
        </w:rPr>
        <w:lastRenderedPageBreak/>
        <w:t>trợ nạn nhân bố trí cán bộ đưa nạn nhân về nơi cư trú bằng phương tiện của cơ quan, đơn vị, chi phí tính theo số km thực tế và giá xăng tại thời điểm vận chuyển; trường hợp thuê xe bên ngoài thì giá thuê xe theo hợp đồng thỏa thuận và phù hợp với giá cả trên địa bàn cùng thời điểm.</w:t>
      </w:r>
    </w:p>
    <w:p w14:paraId="12D21F17" w14:textId="679F28CE" w:rsidR="005175ED" w:rsidRPr="006C2720" w:rsidRDefault="00336E93" w:rsidP="00D41D14">
      <w:pPr>
        <w:spacing w:before="120"/>
        <w:ind w:left="720"/>
        <w:rPr>
          <w:rFonts w:ascii="Times New Roman" w:hAnsi="Times New Roman" w:cs="Times New Roman"/>
          <w:color w:val="auto"/>
          <w:sz w:val="28"/>
          <w:szCs w:val="28"/>
          <w:lang w:val="en-US"/>
        </w:rPr>
      </w:pPr>
      <w:r w:rsidRPr="003270BB">
        <w:rPr>
          <w:rFonts w:ascii="Times New Roman" w:hAnsi="Times New Roman" w:cs="Times New Roman"/>
          <w:color w:val="auto"/>
          <w:sz w:val="28"/>
          <w:szCs w:val="28"/>
        </w:rPr>
        <w:t>Tiền ăn trong những ngày đi đường: 150.000 đồng/người/ngày</w:t>
      </w:r>
      <w:r w:rsidR="006C2720">
        <w:rPr>
          <w:rFonts w:ascii="Times New Roman" w:hAnsi="Times New Roman" w:cs="Times New Roman"/>
          <w:color w:val="auto"/>
          <w:sz w:val="28"/>
          <w:szCs w:val="28"/>
          <w:lang w:val="en-US"/>
        </w:rPr>
        <w:t>.</w:t>
      </w:r>
      <w:r w:rsidR="00612AA9" w:rsidRPr="00612AA9">
        <w:rPr>
          <w:rFonts w:ascii="Times New Roman" w:hAnsi="Times New Roman" w:cs="Times New Roman"/>
          <w:color w:val="auto"/>
          <w:sz w:val="28"/>
          <w:szCs w:val="28"/>
        </w:rPr>
        <w:br/>
      </w:r>
      <w:r w:rsidRPr="003270BB">
        <w:rPr>
          <w:rFonts w:ascii="Times New Roman" w:hAnsi="Times New Roman" w:cs="Times New Roman"/>
          <w:color w:val="auto"/>
          <w:sz w:val="28"/>
          <w:szCs w:val="28"/>
        </w:rPr>
        <w:t>2. Chi hỗ trợ y tế</w:t>
      </w:r>
    </w:p>
    <w:p w14:paraId="21FF7738" w14:textId="4D2A75F9" w:rsidR="005175ED" w:rsidRPr="003270BB" w:rsidRDefault="00336E93" w:rsidP="006C2720">
      <w:pPr>
        <w:spacing w:before="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a) Đối với nạn nhân chưa có thẻ bảo hiểm y tế</w:t>
      </w:r>
      <w:r w:rsidR="00551468" w:rsidRPr="003270BB">
        <w:rPr>
          <w:rFonts w:ascii="Times New Roman" w:hAnsi="Times New Roman" w:cs="Times New Roman"/>
          <w:color w:val="auto"/>
          <w:sz w:val="28"/>
          <w:szCs w:val="28"/>
        </w:rPr>
        <w:t>: T</w:t>
      </w:r>
      <w:r w:rsidRPr="003270BB">
        <w:rPr>
          <w:rFonts w:ascii="Times New Roman" w:hAnsi="Times New Roman" w:cs="Times New Roman"/>
          <w:color w:val="auto"/>
          <w:sz w:val="28"/>
          <w:szCs w:val="28"/>
        </w:rPr>
        <w:t>rong thời gian lưu trú tại cơ sở được cấp thẻ bảo hiểm y tế miễn phí theo quy định pháp luật về bảo hiểm y tế.</w:t>
      </w:r>
    </w:p>
    <w:p w14:paraId="608D6C38" w14:textId="77777777" w:rsidR="005175ED" w:rsidRPr="003270BB" w:rsidRDefault="00336E93" w:rsidP="004C3AB8">
      <w:pPr>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b) Hỗ trợ tiền thuốc thông thường: Trong thời gian nạn nhân lưu trú tại cơ sở không ký hợp đồng khám bệnh, chữa bệnh bảo hiểm y tế được hỗ trợ tiền thuốc thông thường theo thực tế phát sinh.</w:t>
      </w:r>
    </w:p>
    <w:p w14:paraId="2C7D881F" w14:textId="77777777" w:rsidR="005175ED" w:rsidRPr="003270BB" w:rsidRDefault="00336E93" w:rsidP="004C3AB8">
      <w:pPr>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c) Trường hợp nạn nhân bị ốm nặng phải chuyển đến cơ sở y tế điều trị thì việc thanh toán chi phí khám bệnh, chữa bệnh tại cơ sở y tế thực hiện theo quy định của pháp luật về bảo hiểm y tế.</w:t>
      </w:r>
    </w:p>
    <w:p w14:paraId="66DBD6B0" w14:textId="77777777" w:rsidR="005175ED" w:rsidRPr="003270BB" w:rsidRDefault="00336E93" w:rsidP="004C3AB8">
      <w:pPr>
        <w:spacing w:before="120" w:after="1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d) Trường hợp nạn nhân chết trong thời gian lưu trú tại cơ sở, sau 24 (hai mươi bốn) giờ, kể từ khi có kết luận của các cơ quan có thẩm quyền mà thân nhân không đến kịp hoặc không có điều kiện mai táng thì cơ sở có trách nhiệm tổ chức mai táng. Chi phí giám định pháp y, chi phí mai táng thực hiện theo quy định đối với đối tượng tại Trung tâm bảo trợ xã hội và Điều dưỡng người có công.</w:t>
      </w:r>
    </w:p>
    <w:p w14:paraId="1AC81E71" w14:textId="29324B5B" w:rsidR="005175ED" w:rsidRPr="003270BB" w:rsidRDefault="00336E93" w:rsidP="004C3AB8">
      <w:pPr>
        <w:spacing w:before="120" w:after="120"/>
        <w:ind w:firstLine="709"/>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3. Chi hỗ trợ học văn hóa, học nghề</w:t>
      </w:r>
      <w:r w:rsidRPr="003270BB">
        <w:rPr>
          <w:rFonts w:ascii="Times New Roman" w:hAnsi="Times New Roman" w:cs="Times New Roman"/>
          <w:color w:val="auto"/>
          <w:sz w:val="28"/>
          <w:szCs w:val="28"/>
          <w:lang w:bidi="en-US"/>
        </w:rPr>
        <w:t xml:space="preserve"> (cho nạn nhân đã được cấp giấy xác nhận là nạn nhân bị mua bán)</w:t>
      </w:r>
    </w:p>
    <w:p w14:paraId="0A449C3C" w14:textId="0DA5C2C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 xml:space="preserve">a) </w:t>
      </w:r>
      <w:r w:rsidRPr="003270BB">
        <w:rPr>
          <w:rFonts w:ascii="Times New Roman" w:hAnsi="Times New Roman" w:cs="Times New Roman"/>
          <w:color w:val="auto"/>
          <w:sz w:val="28"/>
          <w:szCs w:val="28"/>
          <w:lang w:val="nl-NL"/>
        </w:rPr>
        <w:t xml:space="preserve">Nạn nhân được miễn, giảm học phí và hỗ trợ chi phí học tập theo quy định tại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97/2023/NĐ-CP ngày 31 tháng 12 năm 2023 của Chính phủ sửa đổi, bổ sung một số điều của Nghị định số 81/2021/NĐ-CP ngày 27 tháng 8 năm 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r w:rsidRPr="003270BB">
        <w:rPr>
          <w:rFonts w:ascii="Times New Roman" w:hAnsi="Times New Roman" w:cs="Times New Roman"/>
          <w:color w:val="auto"/>
          <w:sz w:val="28"/>
          <w:szCs w:val="28"/>
        </w:rPr>
        <w:t>Nghị quyết số 52/2023/NQ-HĐND ngày 20 tháng 7 năm 2023 của Hội đồng nhân dân tỉnh Tây Ninh quy định mức học phí đối với cơ sở giáo dục công lập từ năm học 2023</w:t>
      </w:r>
      <w:r w:rsidR="00551468" w:rsidRPr="003270BB">
        <w:rPr>
          <w:rFonts w:ascii="Times New Roman" w:hAnsi="Times New Roman" w:cs="Times New Roman"/>
          <w:color w:val="auto"/>
          <w:sz w:val="28"/>
          <w:szCs w:val="28"/>
        </w:rPr>
        <w:t xml:space="preserve"> </w:t>
      </w:r>
      <w:r w:rsidRPr="003270BB">
        <w:rPr>
          <w:rFonts w:ascii="Times New Roman" w:hAnsi="Times New Roman" w:cs="Times New Roman"/>
          <w:color w:val="auto"/>
          <w:sz w:val="28"/>
          <w:szCs w:val="28"/>
        </w:rPr>
        <w:t>-</w:t>
      </w:r>
      <w:r w:rsidR="00551468" w:rsidRPr="003270BB">
        <w:rPr>
          <w:rFonts w:ascii="Times New Roman" w:hAnsi="Times New Roman" w:cs="Times New Roman"/>
          <w:color w:val="auto"/>
          <w:sz w:val="28"/>
          <w:szCs w:val="28"/>
        </w:rPr>
        <w:t xml:space="preserve"> </w:t>
      </w:r>
      <w:r w:rsidRPr="003270BB">
        <w:rPr>
          <w:rFonts w:ascii="Times New Roman" w:hAnsi="Times New Roman" w:cs="Times New Roman"/>
          <w:color w:val="auto"/>
          <w:sz w:val="28"/>
          <w:szCs w:val="28"/>
        </w:rPr>
        <w:t>2024 đến năm học 2025</w:t>
      </w:r>
      <w:r w:rsidR="00551468" w:rsidRPr="003270BB">
        <w:rPr>
          <w:rFonts w:ascii="Times New Roman" w:hAnsi="Times New Roman" w:cs="Times New Roman"/>
          <w:color w:val="auto"/>
          <w:sz w:val="28"/>
          <w:szCs w:val="28"/>
        </w:rPr>
        <w:t xml:space="preserve"> </w:t>
      </w:r>
      <w:r w:rsidRPr="003270BB">
        <w:rPr>
          <w:rFonts w:ascii="Times New Roman" w:hAnsi="Times New Roman" w:cs="Times New Roman"/>
          <w:color w:val="auto"/>
          <w:sz w:val="28"/>
          <w:szCs w:val="28"/>
        </w:rPr>
        <w:t>-</w:t>
      </w:r>
      <w:r w:rsidR="00551468" w:rsidRPr="003270BB">
        <w:rPr>
          <w:rFonts w:ascii="Times New Roman" w:hAnsi="Times New Roman" w:cs="Times New Roman"/>
          <w:color w:val="auto"/>
          <w:sz w:val="28"/>
          <w:szCs w:val="28"/>
        </w:rPr>
        <w:t xml:space="preserve"> </w:t>
      </w:r>
      <w:r w:rsidRPr="003270BB">
        <w:rPr>
          <w:rFonts w:ascii="Times New Roman" w:hAnsi="Times New Roman" w:cs="Times New Roman"/>
          <w:color w:val="auto"/>
          <w:sz w:val="28"/>
          <w:szCs w:val="28"/>
        </w:rPr>
        <w:t>2026 trên địa bàn tỉnh Tây Ninh.</w:t>
      </w:r>
    </w:p>
    <w:p w14:paraId="052A72B5" w14:textId="1F3A2AB9" w:rsidR="005175ED" w:rsidRPr="00DD026B" w:rsidRDefault="00336E93" w:rsidP="00DD026B">
      <w:pPr>
        <w:spacing w:before="120"/>
        <w:ind w:firstLine="720"/>
        <w:rPr>
          <w:rFonts w:ascii="Times New Roman" w:hAnsi="Times New Roman"/>
          <w:sz w:val="28"/>
          <w:szCs w:val="28"/>
        </w:rPr>
      </w:pPr>
      <w:r w:rsidRPr="003270BB">
        <w:rPr>
          <w:rFonts w:ascii="Times New Roman" w:hAnsi="Times New Roman" w:cs="Times New Roman"/>
          <w:color w:val="auto"/>
          <w:sz w:val="28"/>
          <w:szCs w:val="28"/>
        </w:rPr>
        <w:t>b</w:t>
      </w:r>
      <w:r w:rsidRPr="003270BB">
        <w:rPr>
          <w:rFonts w:ascii="Times New Roman" w:hAnsi="Times New Roman" w:cs="Times New Roman"/>
          <w:color w:val="auto"/>
          <w:spacing w:val="-8"/>
          <w:sz w:val="28"/>
          <w:szCs w:val="28"/>
        </w:rPr>
        <w:t xml:space="preserve">) </w:t>
      </w:r>
      <w:r w:rsidRPr="003270BB">
        <w:rPr>
          <w:rFonts w:ascii="Times New Roman" w:hAnsi="Times New Roman" w:cs="Times New Roman"/>
          <w:color w:val="auto"/>
          <w:spacing w:val="-8"/>
          <w:sz w:val="28"/>
          <w:szCs w:val="28"/>
          <w:lang w:val="nl-NL"/>
        </w:rPr>
        <w:t xml:space="preserve">Trường hợp nạn nhân học nghề trình độ sơ cấp và dưới 03 tháng được hỗ trợ một lần chi phí học nghề: </w:t>
      </w:r>
      <w:r w:rsidR="00DD026B" w:rsidRPr="00DD026B">
        <w:rPr>
          <w:rFonts w:ascii="Times New Roman" w:hAnsi="Times New Roman"/>
          <w:spacing w:val="-8"/>
          <w:sz w:val="28"/>
          <w:szCs w:val="28"/>
          <w:lang w:val="nl-NL"/>
        </w:rPr>
        <w:t>Mức hỗ trợ áp dụng bằng với mức các đối tượng tại khoản 1 Điều 7 Thông tư số 152/2016/TT-BTC ngày 17 tháng 10 năm 2016 của Bộ Tài chính</w:t>
      </w:r>
      <w:r w:rsidR="00FF21B4">
        <w:rPr>
          <w:rFonts w:ascii="Times New Roman" w:hAnsi="Times New Roman"/>
          <w:spacing w:val="-8"/>
          <w:sz w:val="28"/>
          <w:szCs w:val="28"/>
          <w:lang w:val="nl-NL"/>
        </w:rPr>
        <w:t xml:space="preserve">, </w:t>
      </w:r>
      <w:r w:rsidR="00DD026B" w:rsidRPr="00DD026B">
        <w:rPr>
          <w:rFonts w:ascii="Times New Roman" w:hAnsi="Times New Roman"/>
          <w:spacing w:val="-8"/>
          <w:sz w:val="28"/>
          <w:szCs w:val="28"/>
          <w:lang w:val="nl-NL"/>
        </w:rPr>
        <w:t xml:space="preserve"> mức tối thiểu là</w:t>
      </w:r>
      <w:r w:rsidR="00DD026B" w:rsidRPr="00DD026B">
        <w:rPr>
          <w:rFonts w:ascii="Times New Roman" w:hAnsi="Times New Roman"/>
          <w:i/>
          <w:iCs/>
          <w:spacing w:val="-8"/>
          <w:sz w:val="28"/>
          <w:szCs w:val="28"/>
          <w:lang w:val="nl-NL"/>
        </w:rPr>
        <w:t xml:space="preserve"> </w:t>
      </w:r>
      <w:r w:rsidR="00DD026B" w:rsidRPr="00DD026B">
        <w:rPr>
          <w:rFonts w:ascii="Times New Roman" w:hAnsi="Times New Roman"/>
          <w:spacing w:val="-8"/>
          <w:sz w:val="28"/>
          <w:szCs w:val="28"/>
        </w:rPr>
        <w:t>3</w:t>
      </w:r>
      <w:r w:rsidR="00D41D14">
        <w:rPr>
          <w:rFonts w:ascii="Times New Roman" w:hAnsi="Times New Roman"/>
          <w:spacing w:val="-8"/>
          <w:sz w:val="28"/>
          <w:szCs w:val="28"/>
          <w:lang w:val="en-US"/>
        </w:rPr>
        <w:t>.000.000</w:t>
      </w:r>
      <w:r w:rsidR="00DD026B" w:rsidRPr="00DD026B">
        <w:rPr>
          <w:rFonts w:ascii="Times New Roman" w:hAnsi="Times New Roman"/>
          <w:spacing w:val="-8"/>
          <w:sz w:val="28"/>
          <w:szCs w:val="28"/>
        </w:rPr>
        <w:t xml:space="preserve"> đồng/người/khóa họ</w:t>
      </w:r>
      <w:r w:rsidR="00FF21B4">
        <w:rPr>
          <w:rFonts w:ascii="Times New Roman" w:hAnsi="Times New Roman"/>
          <w:spacing w:val="-8"/>
          <w:sz w:val="28"/>
          <w:szCs w:val="28"/>
        </w:rPr>
        <w:t>c</w:t>
      </w:r>
      <w:r w:rsidR="00DD026B" w:rsidRPr="00DD026B">
        <w:rPr>
          <w:rFonts w:ascii="Times New Roman" w:hAnsi="Times New Roman"/>
          <w:sz w:val="28"/>
          <w:szCs w:val="28"/>
          <w:lang w:val="nl-NL"/>
        </w:rPr>
        <w:t>.</w:t>
      </w:r>
    </w:p>
    <w:p w14:paraId="487F331D" w14:textId="77777777" w:rsidR="005175ED" w:rsidRPr="003270BB" w:rsidRDefault="00336E93" w:rsidP="004C3AB8">
      <w:pPr>
        <w:spacing w:before="120" w:after="120"/>
        <w:ind w:firstLine="709"/>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4. Chi trợ cấp khó khăn ban đầu</w:t>
      </w:r>
      <w:r w:rsidRPr="003270BB">
        <w:rPr>
          <w:rFonts w:ascii="Times New Roman" w:hAnsi="Times New Roman" w:cs="Times New Roman"/>
          <w:color w:val="auto"/>
          <w:sz w:val="28"/>
          <w:szCs w:val="28"/>
          <w:lang w:bidi="en-US"/>
        </w:rPr>
        <w:t xml:space="preserve"> (cho nạn nhân đã được cấp giấy xác nhận là nạn nhân bị mua bán). </w:t>
      </w:r>
    </w:p>
    <w:p w14:paraId="52D8C390" w14:textId="77777777" w:rsidR="005175ED" w:rsidRPr="003270BB" w:rsidRDefault="00336E93" w:rsidP="004C3AB8">
      <w:pPr>
        <w:spacing w:before="120" w:after="120"/>
        <w:ind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lastRenderedPageBreak/>
        <w:t>Chi hỗ trợ một lần tiền trợ cấp khó khăn ban đầu đối với nạn nhân thuộc hộ nghèo khi trở về nơi cư trú: Mức hỗ trợ là 2.000.000 đồng/người (hộ nghèo được hỗ trợ là hộ nghèo theo tiêu chí thu nhập).</w:t>
      </w:r>
    </w:p>
    <w:p w14:paraId="133FF9F9" w14:textId="77777777" w:rsidR="00D41D14" w:rsidRDefault="00336E93" w:rsidP="00D41D14">
      <w:pPr>
        <w:spacing w:before="120" w:after="120"/>
        <w:ind w:firstLine="720"/>
        <w:jc w:val="both"/>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lang w:val="nl-NL"/>
        </w:rPr>
        <w:t>Điều 4.</w:t>
      </w:r>
      <w:r w:rsidRPr="003270BB">
        <w:rPr>
          <w:rFonts w:ascii="Times New Roman" w:hAnsi="Times New Roman" w:cs="Times New Roman"/>
          <w:b/>
          <w:bCs/>
          <w:color w:val="auto"/>
          <w:sz w:val="28"/>
          <w:szCs w:val="28"/>
        </w:rPr>
        <w:t xml:space="preserve"> Nguồn kinh phí thực hiện hỗ trợ</w:t>
      </w:r>
      <w:r w:rsidRPr="003270BB">
        <w:rPr>
          <w:rFonts w:ascii="Times New Roman" w:hAnsi="Times New Roman" w:cs="Times New Roman"/>
          <w:b/>
          <w:bCs/>
          <w:color w:val="auto"/>
          <w:sz w:val="28"/>
          <w:szCs w:val="28"/>
          <w:lang w:val="nl-NL"/>
        </w:rPr>
        <w:t xml:space="preserve"> nạn nhân và công tác hỗ trợ nạn nhân bị mua bán</w:t>
      </w:r>
    </w:p>
    <w:p w14:paraId="31ACDEB6" w14:textId="77777777" w:rsidR="00D41D14" w:rsidRDefault="00D41D14" w:rsidP="00D41D14">
      <w:pPr>
        <w:spacing w:before="120" w:after="120"/>
        <w:ind w:firstLine="720"/>
        <w:jc w:val="both"/>
        <w:rPr>
          <w:rFonts w:ascii="Times New Roman" w:hAnsi="Times New Roman" w:cs="Times New Roman"/>
          <w:b/>
          <w:bCs/>
          <w:color w:val="auto"/>
          <w:sz w:val="28"/>
          <w:szCs w:val="28"/>
        </w:rPr>
      </w:pPr>
      <w:r w:rsidRPr="00D41D14">
        <w:rPr>
          <w:rFonts w:ascii="Times New Roman" w:hAnsi="Times New Roman" w:cs="Times New Roman"/>
          <w:color w:val="auto"/>
          <w:sz w:val="28"/>
          <w:szCs w:val="28"/>
          <w:lang w:val="en-US"/>
        </w:rPr>
        <w:t>1.</w:t>
      </w:r>
      <w:r>
        <w:rPr>
          <w:rFonts w:ascii="Times New Roman" w:hAnsi="Times New Roman" w:cs="Times New Roman"/>
          <w:b/>
          <w:bCs/>
          <w:color w:val="auto"/>
          <w:sz w:val="28"/>
          <w:szCs w:val="28"/>
          <w:lang w:val="en-US"/>
        </w:rPr>
        <w:t xml:space="preserve"> </w:t>
      </w:r>
      <w:r w:rsidR="00336E93" w:rsidRPr="003270BB">
        <w:rPr>
          <w:rFonts w:ascii="Times New Roman" w:hAnsi="Times New Roman" w:cs="Times New Roman"/>
          <w:color w:val="auto"/>
          <w:sz w:val="28"/>
          <w:szCs w:val="28"/>
          <w:lang w:val="nl-NL"/>
        </w:rPr>
        <w:t xml:space="preserve">Nguồn ngân sách tỉnh; </w:t>
      </w:r>
    </w:p>
    <w:p w14:paraId="4FE6760D" w14:textId="080F223A" w:rsidR="005175ED" w:rsidRPr="00D41D14" w:rsidRDefault="00D41D14" w:rsidP="00D41D14">
      <w:pPr>
        <w:spacing w:before="120" w:after="120"/>
        <w:ind w:firstLine="720"/>
        <w:jc w:val="both"/>
        <w:rPr>
          <w:rFonts w:ascii="Times New Roman" w:hAnsi="Times New Roman" w:cs="Times New Roman"/>
          <w:b/>
          <w:bCs/>
          <w:color w:val="auto"/>
          <w:sz w:val="28"/>
          <w:szCs w:val="28"/>
        </w:rPr>
      </w:pPr>
      <w:r w:rsidRPr="00D41D14">
        <w:rPr>
          <w:rFonts w:ascii="Times New Roman" w:hAnsi="Times New Roman" w:cs="Times New Roman"/>
          <w:color w:val="auto"/>
          <w:sz w:val="28"/>
          <w:szCs w:val="28"/>
          <w:lang w:val="en-US"/>
        </w:rPr>
        <w:t>2.</w:t>
      </w:r>
      <w:r>
        <w:rPr>
          <w:rFonts w:ascii="Times New Roman" w:hAnsi="Times New Roman" w:cs="Times New Roman"/>
          <w:b/>
          <w:bCs/>
          <w:color w:val="auto"/>
          <w:sz w:val="28"/>
          <w:szCs w:val="28"/>
          <w:lang w:val="en-US"/>
        </w:rPr>
        <w:t xml:space="preserve"> </w:t>
      </w:r>
      <w:r w:rsidR="00336E93" w:rsidRPr="003270BB">
        <w:rPr>
          <w:rFonts w:ascii="Times New Roman" w:hAnsi="Times New Roman" w:cs="Times New Roman"/>
          <w:color w:val="auto"/>
          <w:sz w:val="28"/>
          <w:szCs w:val="28"/>
          <w:lang w:val="nl-NL"/>
        </w:rPr>
        <w:t>Nguồn kinh phí lồng ghép từ các Chương trình, dự án, nguồn tài trợ của các tổ chức, cá nhân và nguồn hợp pháp khác theo quy định (nếu có).</w:t>
      </w:r>
    </w:p>
    <w:p w14:paraId="574BB041" w14:textId="77777777" w:rsidR="005175ED" w:rsidRPr="003270BB" w:rsidRDefault="00336E93" w:rsidP="004C3AB8">
      <w:pPr>
        <w:tabs>
          <w:tab w:val="right" w:leader="dot" w:pos="8640"/>
        </w:tabs>
        <w:spacing w:before="120" w:after="120"/>
        <w:ind w:firstLine="709"/>
        <w:jc w:val="both"/>
        <w:rPr>
          <w:rFonts w:ascii="Times New Roman" w:hAnsi="Times New Roman" w:cs="Times New Roman"/>
          <w:b/>
          <w:bCs/>
          <w:color w:val="auto"/>
          <w:sz w:val="28"/>
          <w:szCs w:val="28"/>
        </w:rPr>
      </w:pPr>
      <w:r w:rsidRPr="003270BB">
        <w:rPr>
          <w:rFonts w:ascii="Times New Roman" w:hAnsi="Times New Roman" w:cs="Times New Roman"/>
          <w:b/>
          <w:bCs/>
          <w:color w:val="auto"/>
          <w:sz w:val="28"/>
          <w:szCs w:val="28"/>
        </w:rPr>
        <w:t xml:space="preserve">Điều </w:t>
      </w:r>
      <w:r w:rsidRPr="003270BB">
        <w:rPr>
          <w:rFonts w:ascii="Times New Roman" w:hAnsi="Times New Roman" w:cs="Times New Roman"/>
          <w:b/>
          <w:bCs/>
          <w:color w:val="auto"/>
          <w:sz w:val="28"/>
          <w:szCs w:val="28"/>
          <w:lang w:val="en-US"/>
        </w:rPr>
        <w:t>5</w:t>
      </w:r>
      <w:r w:rsidRPr="003270BB">
        <w:rPr>
          <w:rFonts w:ascii="Times New Roman" w:hAnsi="Times New Roman" w:cs="Times New Roman"/>
          <w:b/>
          <w:bCs/>
          <w:color w:val="auto"/>
          <w:sz w:val="28"/>
          <w:szCs w:val="28"/>
        </w:rPr>
        <w:t>. Tổ chức thực hiện</w:t>
      </w:r>
    </w:p>
    <w:p w14:paraId="0DB59E29" w14:textId="77777777" w:rsidR="005175ED" w:rsidRPr="003270BB" w:rsidRDefault="00336E93" w:rsidP="004C3AB8">
      <w:pPr>
        <w:spacing w:before="120" w:after="120"/>
        <w:ind w:right="14" w:firstLine="567"/>
        <w:jc w:val="both"/>
        <w:rPr>
          <w:rFonts w:ascii="Times New Roman" w:eastAsia="Times New Roman" w:hAnsi="Times New Roman" w:cs="Times New Roman"/>
          <w:color w:val="auto"/>
          <w:sz w:val="28"/>
          <w:szCs w:val="28"/>
        </w:rPr>
      </w:pPr>
      <w:r w:rsidRPr="003270BB">
        <w:rPr>
          <w:rFonts w:ascii="Times New Roman" w:hAnsi="Times New Roman" w:cs="Times New Roman"/>
          <w:color w:val="auto"/>
          <w:sz w:val="28"/>
          <w:szCs w:val="28"/>
          <w:lang w:val="sv-SE"/>
        </w:rPr>
        <w:tab/>
        <w:t>1. Giao Ủy ban nhân dân tỉnh tổ chức triển khai thực hiện Nghị quyết đúng quy định.</w:t>
      </w:r>
    </w:p>
    <w:p w14:paraId="0B8137A1" w14:textId="77777777" w:rsidR="005175ED" w:rsidRPr="003270BB" w:rsidRDefault="00336E93" w:rsidP="004C3AB8">
      <w:pPr>
        <w:spacing w:before="120" w:after="120"/>
        <w:ind w:right="14" w:firstLine="567"/>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sv-SE"/>
        </w:rPr>
        <w:tab/>
        <w:t>2. Giao Thường trực Hội đồng nhân dân tỉnh, các Ban của Hội đồng nhân dân tỉnh, Tổ đại biểu và đại biểu Hội đồng nhân dân tỉnh giám sát việc thực hiện Nghị quyết.</w:t>
      </w:r>
    </w:p>
    <w:p w14:paraId="773FDFD2" w14:textId="77777777" w:rsidR="005175ED" w:rsidRPr="003270BB" w:rsidRDefault="00336E93" w:rsidP="004C3AB8">
      <w:pPr>
        <w:spacing w:before="120" w:after="120"/>
        <w:ind w:right="14" w:firstLine="567"/>
        <w:jc w:val="both"/>
        <w:rPr>
          <w:rFonts w:ascii="Times New Roman" w:hAnsi="Times New Roman" w:cs="Times New Roman"/>
          <w:color w:val="auto"/>
          <w:sz w:val="28"/>
          <w:szCs w:val="28"/>
        </w:rPr>
      </w:pPr>
      <w:r w:rsidRPr="003270BB">
        <w:rPr>
          <w:rFonts w:ascii="Times New Roman" w:hAnsi="Times New Roman" w:cs="Times New Roman"/>
          <w:color w:val="auto"/>
          <w:sz w:val="28"/>
          <w:szCs w:val="28"/>
          <w:lang w:val="sv-SE"/>
        </w:rPr>
        <w:tab/>
        <w:t>3. Đề nghị Ủy ban Mặt trận Tổ quốc Việt Nam tỉnh, các tổ chức chính trị - xã hội tỉnh tuyên truyền và tham gia giám sát việc thực hiện Nghị quyết.</w:t>
      </w:r>
    </w:p>
    <w:p w14:paraId="687A6E4D" w14:textId="77777777" w:rsidR="005175ED" w:rsidRPr="003270BB" w:rsidRDefault="00336E93" w:rsidP="004C3AB8">
      <w:pPr>
        <w:spacing w:before="120" w:after="120"/>
        <w:ind w:right="14" w:firstLine="567"/>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ab/>
        <w:t>4. Trường hợp các văn bản quy phạm pháp luật viện dẫn trong Nghị quyết này được sửa đổi, bổ sung hoặc thay thế thì áp dụng theo quy định của văn bản quy phạm pháp luật mới được sửa đổi, bổ sung, thay thế.</w:t>
      </w:r>
    </w:p>
    <w:p w14:paraId="3BE67948" w14:textId="0F0794F7" w:rsidR="005175ED" w:rsidRPr="003270BB" w:rsidRDefault="00336E93" w:rsidP="004C3AB8">
      <w:pPr>
        <w:spacing w:before="120" w:after="120"/>
        <w:ind w:right="14" w:firstLine="720"/>
        <w:jc w:val="both"/>
        <w:rPr>
          <w:rFonts w:ascii="Times New Roman" w:hAnsi="Times New Roman" w:cs="Times New Roman"/>
          <w:color w:val="auto"/>
          <w:sz w:val="28"/>
          <w:szCs w:val="28"/>
        </w:rPr>
      </w:pPr>
      <w:r w:rsidRPr="003270BB">
        <w:rPr>
          <w:rFonts w:ascii="Times New Roman" w:hAnsi="Times New Roman" w:cs="Times New Roman"/>
          <w:color w:val="auto"/>
          <w:sz w:val="28"/>
          <w:szCs w:val="28"/>
        </w:rPr>
        <w:t xml:space="preserve">Nghị quyết này đã được Hội đồng nhân dân tỉnh Tây Ninh Khóa </w:t>
      </w:r>
      <w:r w:rsidR="00B95C8C" w:rsidRPr="003270BB">
        <w:rPr>
          <w:rFonts w:ascii="Times New Roman" w:hAnsi="Times New Roman" w:cs="Times New Roman"/>
          <w:color w:val="auto"/>
          <w:sz w:val="28"/>
          <w:szCs w:val="28"/>
          <w:lang w:bidi="en-US"/>
        </w:rPr>
        <w:t>X</w:t>
      </w:r>
      <w:r w:rsidRPr="003270BB">
        <w:rPr>
          <w:rFonts w:ascii="Times New Roman" w:hAnsi="Times New Roman" w:cs="Times New Roman"/>
          <w:color w:val="auto"/>
          <w:sz w:val="28"/>
          <w:szCs w:val="28"/>
        </w:rPr>
        <w:t xml:space="preserve">, Kỳ họp thứ </w:t>
      </w:r>
      <w:r w:rsidR="00B95C8C" w:rsidRPr="003270BB">
        <w:rPr>
          <w:rFonts w:ascii="Times New Roman" w:hAnsi="Times New Roman" w:cs="Times New Roman"/>
          <w:color w:val="auto"/>
          <w:sz w:val="28"/>
          <w:szCs w:val="28"/>
          <w:lang w:bidi="en-US"/>
        </w:rPr>
        <w:t>11</w:t>
      </w:r>
      <w:r w:rsidRPr="003270BB">
        <w:rPr>
          <w:rFonts w:ascii="Times New Roman" w:hAnsi="Times New Roman" w:cs="Times New Roman"/>
          <w:color w:val="auto"/>
          <w:sz w:val="28"/>
          <w:szCs w:val="28"/>
        </w:rPr>
        <w:t xml:space="preserve"> thông qua ngày </w:t>
      </w:r>
      <w:r w:rsidR="00B95C8C" w:rsidRPr="003270BB">
        <w:rPr>
          <w:rFonts w:ascii="Times New Roman" w:hAnsi="Times New Roman" w:cs="Times New Roman"/>
          <w:color w:val="auto"/>
          <w:sz w:val="28"/>
          <w:szCs w:val="28"/>
        </w:rPr>
        <w:t>22</w:t>
      </w:r>
      <w:r w:rsidRPr="003270BB">
        <w:rPr>
          <w:rFonts w:ascii="Times New Roman" w:hAnsi="Times New Roman" w:cs="Times New Roman"/>
          <w:color w:val="auto"/>
          <w:sz w:val="28"/>
          <w:szCs w:val="28"/>
        </w:rPr>
        <w:t xml:space="preserve"> tháng </w:t>
      </w:r>
      <w:r w:rsidR="00B95C8C" w:rsidRPr="003270BB">
        <w:rPr>
          <w:rFonts w:ascii="Times New Roman" w:hAnsi="Times New Roman" w:cs="Times New Roman"/>
          <w:color w:val="auto"/>
          <w:sz w:val="28"/>
          <w:szCs w:val="28"/>
        </w:rPr>
        <w:t xml:space="preserve">3 </w:t>
      </w:r>
      <w:r w:rsidRPr="003270BB">
        <w:rPr>
          <w:rFonts w:ascii="Times New Roman" w:hAnsi="Times New Roman" w:cs="Times New Roman"/>
          <w:color w:val="auto"/>
          <w:sz w:val="28"/>
          <w:szCs w:val="28"/>
        </w:rPr>
        <w:t>năm 20</w:t>
      </w:r>
      <w:r w:rsidR="00B95C8C" w:rsidRPr="003270BB">
        <w:rPr>
          <w:rFonts w:ascii="Times New Roman" w:hAnsi="Times New Roman" w:cs="Times New Roman"/>
          <w:color w:val="auto"/>
          <w:sz w:val="28"/>
          <w:szCs w:val="28"/>
        </w:rPr>
        <w:t>24</w:t>
      </w:r>
      <w:r w:rsidRPr="003270BB">
        <w:rPr>
          <w:rFonts w:ascii="Times New Roman" w:hAnsi="Times New Roman" w:cs="Times New Roman"/>
          <w:color w:val="auto"/>
          <w:sz w:val="28"/>
          <w:szCs w:val="28"/>
        </w:rPr>
        <w:t xml:space="preserve"> và có hiệu lực từ ngày </w:t>
      </w:r>
      <w:r w:rsidR="00B95C8C" w:rsidRPr="003270BB">
        <w:rPr>
          <w:rFonts w:ascii="Times New Roman" w:hAnsi="Times New Roman" w:cs="Times New Roman"/>
          <w:color w:val="auto"/>
          <w:sz w:val="28"/>
          <w:szCs w:val="28"/>
        </w:rPr>
        <w:t>01</w:t>
      </w:r>
      <w:r w:rsidRPr="003270BB">
        <w:rPr>
          <w:rFonts w:ascii="Times New Roman" w:hAnsi="Times New Roman" w:cs="Times New Roman"/>
          <w:color w:val="auto"/>
          <w:sz w:val="28"/>
          <w:szCs w:val="28"/>
        </w:rPr>
        <w:t xml:space="preserve"> tháng </w:t>
      </w:r>
      <w:r w:rsidR="00B95C8C" w:rsidRPr="003270BB">
        <w:rPr>
          <w:rFonts w:ascii="Times New Roman" w:hAnsi="Times New Roman" w:cs="Times New Roman"/>
          <w:color w:val="auto"/>
          <w:sz w:val="28"/>
          <w:szCs w:val="28"/>
        </w:rPr>
        <w:t>4</w:t>
      </w:r>
      <w:r w:rsidRPr="003270BB">
        <w:rPr>
          <w:rFonts w:ascii="Times New Roman" w:hAnsi="Times New Roman" w:cs="Times New Roman"/>
          <w:color w:val="auto"/>
          <w:sz w:val="28"/>
          <w:szCs w:val="28"/>
        </w:rPr>
        <w:t xml:space="preserve"> năm 20</w:t>
      </w:r>
      <w:r w:rsidR="00B95C8C" w:rsidRPr="003270BB">
        <w:rPr>
          <w:rFonts w:ascii="Times New Roman" w:hAnsi="Times New Roman" w:cs="Times New Roman"/>
          <w:color w:val="auto"/>
          <w:sz w:val="28"/>
          <w:szCs w:val="28"/>
        </w:rPr>
        <w:t>24</w:t>
      </w:r>
      <w:r w:rsidRPr="003270BB">
        <w:rPr>
          <w:rFonts w:ascii="Times New Roman" w:hAnsi="Times New Roman" w:cs="Times New Roman"/>
          <w:color w:val="auto"/>
          <w:sz w:val="28"/>
          <w:szCs w:val="28"/>
        </w:rPr>
        <w:t>.</w:t>
      </w:r>
    </w:p>
    <w:tbl>
      <w:tblPr>
        <w:tblW w:w="9943" w:type="dxa"/>
        <w:tblLook w:val="04A0" w:firstRow="1" w:lastRow="0" w:firstColumn="1" w:lastColumn="0" w:noHBand="0" w:noVBand="1"/>
      </w:tblPr>
      <w:tblGrid>
        <w:gridCol w:w="5495"/>
        <w:gridCol w:w="4448"/>
      </w:tblGrid>
      <w:tr w:rsidR="005175ED" w:rsidRPr="003270BB" w14:paraId="5769C353" w14:textId="77777777" w:rsidTr="00F57F43">
        <w:trPr>
          <w:trHeight w:val="77"/>
        </w:trPr>
        <w:tc>
          <w:tcPr>
            <w:tcW w:w="5495" w:type="dxa"/>
          </w:tcPr>
          <w:p w14:paraId="13C79BEC" w14:textId="77777777" w:rsidR="005175ED" w:rsidRPr="003270BB" w:rsidRDefault="00336E93">
            <w:pPr>
              <w:rPr>
                <w:rFonts w:ascii="Times New Roman" w:hAnsi="Times New Roman" w:cs="Times New Roman"/>
                <w:b/>
                <w:bCs/>
                <w:i/>
                <w:iCs/>
                <w:color w:val="auto"/>
              </w:rPr>
            </w:pPr>
            <w:r w:rsidRPr="003270BB">
              <w:rPr>
                <w:rFonts w:ascii="Times New Roman" w:hAnsi="Times New Roman" w:cs="Times New Roman"/>
                <w:b/>
                <w:bCs/>
                <w:i/>
                <w:iCs/>
                <w:color w:val="auto"/>
              </w:rPr>
              <w:t>Nơi nhận:</w:t>
            </w:r>
          </w:p>
          <w:p w14:paraId="542AD153" w14:textId="07BEC633" w:rsidR="00B95C8C" w:rsidRPr="004C3AB8" w:rsidRDefault="00336E93">
            <w:pPr>
              <w:rPr>
                <w:rFonts w:ascii="Times New Roman" w:eastAsia="Times New Roman" w:hAnsi="Times New Roman" w:cs="Times New Roman"/>
                <w:color w:val="auto"/>
                <w:sz w:val="22"/>
                <w:szCs w:val="22"/>
              </w:rPr>
            </w:pPr>
            <w:r w:rsidRPr="003270BB">
              <w:rPr>
                <w:rFonts w:ascii="Times New Roman" w:eastAsia="Times New Roman" w:hAnsi="Times New Roman" w:cs="Times New Roman"/>
                <w:color w:val="auto"/>
                <w:sz w:val="22"/>
                <w:szCs w:val="22"/>
              </w:rPr>
              <w:t>- </w:t>
            </w:r>
            <w:r w:rsidRPr="004C3AB8">
              <w:rPr>
                <w:rFonts w:ascii="Times New Roman" w:eastAsia="Times New Roman" w:hAnsi="Times New Roman" w:cs="Times New Roman"/>
                <w:color w:val="auto"/>
                <w:sz w:val="22"/>
                <w:szCs w:val="22"/>
              </w:rPr>
              <w:t>Ủy ban Thường vụ Quốc hội;</w:t>
            </w:r>
            <w:r w:rsidRPr="004C3AB8">
              <w:rPr>
                <w:rFonts w:ascii="Times New Roman" w:eastAsia="Times New Roman" w:hAnsi="Times New Roman" w:cs="Times New Roman"/>
                <w:color w:val="auto"/>
                <w:sz w:val="22"/>
                <w:szCs w:val="22"/>
              </w:rPr>
              <w:br/>
              <w:t>- Chính phủ;</w:t>
            </w:r>
            <w:r w:rsidRPr="004C3AB8">
              <w:rPr>
                <w:rFonts w:ascii="Times New Roman" w:eastAsia="Times New Roman" w:hAnsi="Times New Roman" w:cs="Times New Roman"/>
                <w:color w:val="auto"/>
                <w:sz w:val="22"/>
                <w:szCs w:val="22"/>
              </w:rPr>
              <w:br/>
              <w:t>- Vụ Pháp chế - Bộ Lao động</w:t>
            </w:r>
            <w:r w:rsidR="00DD026B">
              <w:rPr>
                <w:rFonts w:ascii="Times New Roman" w:eastAsia="Times New Roman" w:hAnsi="Times New Roman" w:cs="Times New Roman"/>
                <w:color w:val="auto"/>
                <w:sz w:val="22"/>
                <w:szCs w:val="22"/>
                <w:lang w:val="en-US"/>
              </w:rPr>
              <w:t>,</w:t>
            </w:r>
            <w:r w:rsidRPr="004C3AB8">
              <w:rPr>
                <w:rFonts w:ascii="Times New Roman" w:eastAsia="Times New Roman" w:hAnsi="Times New Roman" w:cs="Times New Roman"/>
                <w:color w:val="auto"/>
                <w:sz w:val="22"/>
                <w:szCs w:val="22"/>
              </w:rPr>
              <w:t xml:space="preserve"> Thương binh và Xã hội;</w:t>
            </w:r>
            <w:r w:rsidRPr="004C3AB8">
              <w:rPr>
                <w:rFonts w:ascii="Times New Roman" w:eastAsia="Times New Roman" w:hAnsi="Times New Roman" w:cs="Times New Roman"/>
                <w:color w:val="auto"/>
                <w:sz w:val="22"/>
                <w:szCs w:val="22"/>
              </w:rPr>
              <w:br/>
              <w:t>- Cục KTVBQPPL - Bộ Tư pháp;</w:t>
            </w:r>
            <w:r w:rsidRPr="004C3AB8">
              <w:rPr>
                <w:rFonts w:ascii="Times New Roman" w:eastAsia="Times New Roman" w:hAnsi="Times New Roman" w:cs="Times New Roman"/>
                <w:color w:val="auto"/>
                <w:sz w:val="22"/>
                <w:szCs w:val="22"/>
              </w:rPr>
              <w:br/>
              <w:t>- Thường trực Tỉnh ủy;</w:t>
            </w:r>
          </w:p>
          <w:p w14:paraId="392B6C92" w14:textId="77777777" w:rsidR="004C3AB8" w:rsidRPr="004C3AB8" w:rsidRDefault="00B95C8C">
            <w:pPr>
              <w:rPr>
                <w:rFonts w:ascii="Times New Roman" w:eastAsia="Times New Roman" w:hAnsi="Times New Roman" w:cs="Times New Roman"/>
                <w:color w:val="auto"/>
                <w:sz w:val="22"/>
                <w:szCs w:val="22"/>
              </w:rPr>
            </w:pPr>
            <w:r w:rsidRPr="004C3AB8">
              <w:rPr>
                <w:rFonts w:ascii="Times New Roman" w:eastAsia="Times New Roman" w:hAnsi="Times New Roman" w:cs="Times New Roman"/>
                <w:color w:val="auto"/>
                <w:sz w:val="22"/>
                <w:szCs w:val="22"/>
              </w:rPr>
              <w:t xml:space="preserve">- </w:t>
            </w:r>
            <w:r w:rsidR="004C3AB8" w:rsidRPr="00AF2491">
              <w:rPr>
                <w:rFonts w:ascii="Times New Roman" w:eastAsia="Times New Roman" w:hAnsi="Times New Roman" w:cs="Times New Roman"/>
                <w:color w:val="auto"/>
                <w:sz w:val="22"/>
                <w:szCs w:val="22"/>
              </w:rPr>
              <w:t xml:space="preserve">Ủy ban nhân dân </w:t>
            </w:r>
            <w:r w:rsidRPr="004C3AB8">
              <w:rPr>
                <w:rFonts w:ascii="Times New Roman" w:eastAsia="Times New Roman" w:hAnsi="Times New Roman" w:cs="Times New Roman"/>
                <w:color w:val="auto"/>
                <w:sz w:val="22"/>
                <w:szCs w:val="22"/>
              </w:rPr>
              <w:t>tỉnh</w:t>
            </w:r>
          </w:p>
          <w:p w14:paraId="277B11D4" w14:textId="2F74251E" w:rsidR="005175ED" w:rsidRPr="004C3AB8" w:rsidRDefault="004C3AB8" w:rsidP="00B95C8C">
            <w:pPr>
              <w:rPr>
                <w:rFonts w:ascii="Times New Roman" w:eastAsia="Times New Roman" w:hAnsi="Times New Roman" w:cs="Times New Roman"/>
                <w:color w:val="auto"/>
                <w:sz w:val="22"/>
                <w:szCs w:val="22"/>
              </w:rPr>
            </w:pPr>
            <w:r w:rsidRPr="00AF2491">
              <w:rPr>
                <w:rFonts w:ascii="Times New Roman" w:eastAsia="Times New Roman" w:hAnsi="Times New Roman" w:cs="Times New Roman"/>
                <w:color w:val="auto"/>
                <w:sz w:val="22"/>
                <w:szCs w:val="22"/>
              </w:rPr>
              <w:t>- Đoàn đại biểu Quốc hội tỉnh;</w:t>
            </w:r>
            <w:r w:rsidRPr="004C3AB8">
              <w:rPr>
                <w:rFonts w:ascii="Times New Roman" w:eastAsia="Times New Roman" w:hAnsi="Times New Roman" w:cs="Times New Roman"/>
                <w:color w:val="auto"/>
                <w:sz w:val="22"/>
                <w:szCs w:val="22"/>
              </w:rPr>
              <w:br/>
              <w:t>- </w:t>
            </w:r>
            <w:r w:rsidRPr="00AF2491">
              <w:rPr>
                <w:rFonts w:ascii="Times New Roman" w:eastAsia="Times New Roman" w:hAnsi="Times New Roman" w:cs="Times New Roman"/>
                <w:color w:val="auto"/>
                <w:sz w:val="22"/>
                <w:szCs w:val="22"/>
              </w:rPr>
              <w:t>Ủy ban</w:t>
            </w:r>
            <w:r w:rsidR="00B95C8C" w:rsidRPr="004C3AB8">
              <w:rPr>
                <w:rFonts w:ascii="Times New Roman" w:eastAsia="Times New Roman" w:hAnsi="Times New Roman" w:cs="Times New Roman"/>
                <w:color w:val="auto"/>
                <w:sz w:val="22"/>
                <w:szCs w:val="22"/>
              </w:rPr>
              <w:t xml:space="preserve"> MTTQVN tỉnh;</w:t>
            </w:r>
          </w:p>
          <w:p w14:paraId="12262EB1" w14:textId="77777777" w:rsidR="004C3AB8" w:rsidRPr="004C3AB8" w:rsidRDefault="004C3AB8" w:rsidP="004C3AB8">
            <w:pPr>
              <w:rPr>
                <w:rFonts w:ascii="Times New Roman" w:eastAsia="Times New Roman" w:hAnsi="Times New Roman" w:cs="Times New Roman"/>
                <w:color w:val="auto"/>
                <w:sz w:val="22"/>
                <w:szCs w:val="22"/>
              </w:rPr>
            </w:pPr>
            <w:r w:rsidRPr="004C3AB8">
              <w:rPr>
                <w:rFonts w:ascii="Times New Roman" w:eastAsia="Times New Roman" w:hAnsi="Times New Roman" w:cs="Times New Roman"/>
                <w:color w:val="auto"/>
                <w:sz w:val="22"/>
                <w:szCs w:val="22"/>
              </w:rPr>
              <w:t>- Các tổ chức chính trị - xã hội tỉnh;</w:t>
            </w:r>
          </w:p>
          <w:p w14:paraId="68AFC86A" w14:textId="063919DD" w:rsidR="004C3AB8" w:rsidRPr="00AF2491" w:rsidRDefault="004C3AB8" w:rsidP="00B95C8C">
            <w:pPr>
              <w:rPr>
                <w:rFonts w:ascii="Times New Roman" w:eastAsia="Times New Roman" w:hAnsi="Times New Roman" w:cs="Times New Roman"/>
                <w:color w:val="auto"/>
                <w:sz w:val="22"/>
                <w:szCs w:val="22"/>
              </w:rPr>
            </w:pPr>
            <w:r w:rsidRPr="00AF2491">
              <w:rPr>
                <w:rFonts w:ascii="Times New Roman" w:eastAsia="Times New Roman" w:hAnsi="Times New Roman" w:cs="Times New Roman"/>
                <w:color w:val="auto"/>
                <w:sz w:val="22"/>
                <w:szCs w:val="22"/>
              </w:rPr>
              <w:t>- Đại biểu HĐND tỉnh;</w:t>
            </w:r>
          </w:p>
          <w:p w14:paraId="3767A87D" w14:textId="45A5D1F6" w:rsidR="005175ED" w:rsidRPr="004C3AB8" w:rsidRDefault="00336E93">
            <w:pPr>
              <w:rPr>
                <w:rFonts w:ascii="Times New Roman" w:eastAsia="Times New Roman" w:hAnsi="Times New Roman" w:cs="Times New Roman"/>
                <w:color w:val="auto"/>
                <w:sz w:val="22"/>
                <w:szCs w:val="22"/>
              </w:rPr>
            </w:pPr>
            <w:r w:rsidRPr="004C3AB8">
              <w:rPr>
                <w:rFonts w:ascii="Times New Roman" w:eastAsia="Times New Roman" w:hAnsi="Times New Roman" w:cs="Times New Roman"/>
                <w:color w:val="auto"/>
                <w:sz w:val="22"/>
                <w:szCs w:val="22"/>
              </w:rPr>
              <w:t xml:space="preserve">- </w:t>
            </w:r>
            <w:r w:rsidR="004C3AB8" w:rsidRPr="00AF2491">
              <w:rPr>
                <w:rFonts w:ascii="Times New Roman" w:eastAsia="Times New Roman" w:hAnsi="Times New Roman" w:cs="Times New Roman"/>
                <w:color w:val="auto"/>
                <w:sz w:val="22"/>
                <w:szCs w:val="22"/>
              </w:rPr>
              <w:t xml:space="preserve">Các </w:t>
            </w:r>
            <w:r w:rsidR="004C3AB8" w:rsidRPr="004C3AB8">
              <w:rPr>
                <w:rFonts w:ascii="Times New Roman" w:eastAsia="Times New Roman" w:hAnsi="Times New Roman" w:cs="Times New Roman"/>
                <w:color w:val="auto"/>
                <w:sz w:val="22"/>
                <w:szCs w:val="22"/>
              </w:rPr>
              <w:t>s</w:t>
            </w:r>
            <w:r w:rsidRPr="004C3AB8">
              <w:rPr>
                <w:rFonts w:ascii="Times New Roman" w:eastAsia="Times New Roman" w:hAnsi="Times New Roman" w:cs="Times New Roman"/>
                <w:color w:val="auto"/>
                <w:sz w:val="22"/>
                <w:szCs w:val="22"/>
              </w:rPr>
              <w:t>ở, ban, ngành tỉnh;</w:t>
            </w:r>
          </w:p>
          <w:p w14:paraId="4D8E7BE9" w14:textId="77777777" w:rsidR="004C3AB8" w:rsidRPr="004C3AB8" w:rsidRDefault="00336E93">
            <w:pPr>
              <w:rPr>
                <w:rFonts w:ascii="Times New Roman" w:eastAsia="Times New Roman" w:hAnsi="Times New Roman" w:cs="Times New Roman"/>
                <w:color w:val="auto"/>
                <w:sz w:val="22"/>
                <w:szCs w:val="22"/>
              </w:rPr>
            </w:pPr>
            <w:r w:rsidRPr="004C3AB8">
              <w:rPr>
                <w:rFonts w:ascii="Times New Roman" w:eastAsia="Times New Roman" w:hAnsi="Times New Roman" w:cs="Times New Roman"/>
                <w:color w:val="auto"/>
                <w:sz w:val="22"/>
                <w:szCs w:val="22"/>
              </w:rPr>
              <w:t xml:space="preserve">- </w:t>
            </w:r>
            <w:r w:rsidR="004C3AB8" w:rsidRPr="00AF2491">
              <w:rPr>
                <w:rFonts w:ascii="Times New Roman" w:eastAsia="Times New Roman" w:hAnsi="Times New Roman" w:cs="Times New Roman"/>
                <w:color w:val="auto"/>
                <w:sz w:val="22"/>
                <w:szCs w:val="22"/>
              </w:rPr>
              <w:t>TT.</w:t>
            </w:r>
            <w:r w:rsidRPr="004C3AB8">
              <w:rPr>
                <w:rFonts w:ascii="Times New Roman" w:eastAsia="Times New Roman" w:hAnsi="Times New Roman" w:cs="Times New Roman"/>
                <w:color w:val="auto"/>
                <w:sz w:val="22"/>
                <w:szCs w:val="22"/>
              </w:rPr>
              <w:t xml:space="preserve">HĐND, UBND huyện, </w:t>
            </w:r>
            <w:r w:rsidR="000A190B" w:rsidRPr="004C3AB8">
              <w:rPr>
                <w:rFonts w:ascii="Times New Roman" w:eastAsia="Times New Roman" w:hAnsi="Times New Roman" w:cs="Times New Roman"/>
                <w:color w:val="auto"/>
                <w:sz w:val="22"/>
                <w:szCs w:val="22"/>
              </w:rPr>
              <w:t>thị xã</w:t>
            </w:r>
            <w:r w:rsidRPr="004C3AB8">
              <w:rPr>
                <w:rFonts w:ascii="Times New Roman" w:eastAsia="Times New Roman" w:hAnsi="Times New Roman" w:cs="Times New Roman"/>
                <w:color w:val="auto"/>
                <w:sz w:val="22"/>
                <w:szCs w:val="22"/>
              </w:rPr>
              <w:t xml:space="preserve">, </w:t>
            </w:r>
            <w:r w:rsidR="004C3AB8" w:rsidRPr="004C3AB8">
              <w:rPr>
                <w:rFonts w:ascii="Times New Roman" w:eastAsia="Times New Roman" w:hAnsi="Times New Roman" w:cs="Times New Roman"/>
                <w:color w:val="auto"/>
                <w:sz w:val="22"/>
                <w:szCs w:val="22"/>
              </w:rPr>
              <w:t>thành phố</w:t>
            </w:r>
            <w:r w:rsidRPr="004C3AB8">
              <w:rPr>
                <w:rFonts w:ascii="Times New Roman" w:eastAsia="Times New Roman" w:hAnsi="Times New Roman" w:cs="Times New Roman"/>
                <w:color w:val="auto"/>
                <w:sz w:val="22"/>
                <w:szCs w:val="22"/>
              </w:rPr>
              <w:t>;</w:t>
            </w:r>
          </w:p>
          <w:p w14:paraId="000E44E4" w14:textId="77777777" w:rsidR="004C3AB8" w:rsidRPr="004C3AB8" w:rsidRDefault="004C3AB8" w:rsidP="004C3AB8">
            <w:pPr>
              <w:jc w:val="both"/>
              <w:rPr>
                <w:rFonts w:ascii="Times New Roman" w:hAnsi="Times New Roman" w:cs="Times New Roman"/>
                <w:color w:val="auto"/>
                <w:sz w:val="22"/>
                <w:szCs w:val="22"/>
              </w:rPr>
            </w:pPr>
            <w:r w:rsidRPr="004C3AB8">
              <w:rPr>
                <w:rFonts w:ascii="Times New Roman" w:hAnsi="Times New Roman" w:cs="Times New Roman"/>
                <w:color w:val="auto"/>
                <w:sz w:val="22"/>
                <w:szCs w:val="22"/>
                <w:lang w:val="sv-SE"/>
              </w:rPr>
              <w:t xml:space="preserve">- Báo Tây Ninh; </w:t>
            </w:r>
            <w:r w:rsidRPr="004C3AB8">
              <w:rPr>
                <w:rFonts w:ascii="Times New Roman" w:hAnsi="Times New Roman" w:cs="Times New Roman"/>
                <w:color w:val="auto"/>
                <w:sz w:val="22"/>
                <w:szCs w:val="22"/>
              </w:rPr>
              <w:t>Đài PTTH Tây Ninh;</w:t>
            </w:r>
          </w:p>
          <w:p w14:paraId="3E7587D0" w14:textId="77777777" w:rsidR="004C3AB8" w:rsidRPr="004C3AB8" w:rsidRDefault="004C3AB8" w:rsidP="004C3AB8">
            <w:pPr>
              <w:rPr>
                <w:rFonts w:ascii="Times New Roman" w:hAnsi="Times New Roman" w:cs="Times New Roman"/>
                <w:color w:val="auto"/>
                <w:sz w:val="22"/>
                <w:szCs w:val="22"/>
                <w:lang w:val="sv-SE"/>
              </w:rPr>
            </w:pPr>
            <w:r w:rsidRPr="004C3AB8">
              <w:rPr>
                <w:rFonts w:ascii="Times New Roman" w:hAnsi="Times New Roman" w:cs="Times New Roman"/>
                <w:color w:val="auto"/>
                <w:sz w:val="22"/>
                <w:szCs w:val="22"/>
                <w:lang w:val="sv-SE"/>
              </w:rPr>
              <w:t>- Trung tâm Công báo - Tin học tỉnh;</w:t>
            </w:r>
          </w:p>
          <w:p w14:paraId="1EB79F46" w14:textId="0285C831" w:rsidR="005175ED" w:rsidRPr="003270BB" w:rsidRDefault="004C3AB8">
            <w:pPr>
              <w:rPr>
                <w:rFonts w:ascii="Times New Roman" w:eastAsia="Times New Roman" w:hAnsi="Times New Roman" w:cs="Times New Roman"/>
                <w:color w:val="auto"/>
                <w:sz w:val="22"/>
                <w:szCs w:val="22"/>
              </w:rPr>
            </w:pPr>
            <w:r w:rsidRPr="004C3AB8">
              <w:rPr>
                <w:rFonts w:ascii="Times New Roman" w:hAnsi="Times New Roman" w:cs="Times New Roman"/>
                <w:color w:val="auto"/>
                <w:sz w:val="22"/>
                <w:szCs w:val="22"/>
                <w:lang w:val="sv-SE"/>
              </w:rPr>
              <w:t>- Lưu: VT, VP Đoàn ĐBQH và HĐND tỉnh.</w:t>
            </w:r>
          </w:p>
        </w:tc>
        <w:tc>
          <w:tcPr>
            <w:tcW w:w="4448" w:type="dxa"/>
          </w:tcPr>
          <w:p w14:paraId="05660E6F" w14:textId="09A37D59" w:rsidR="005175ED" w:rsidRPr="000A37BF" w:rsidRDefault="00336E93" w:rsidP="000A37BF">
            <w:pPr>
              <w:jc w:val="center"/>
              <w:rPr>
                <w:rFonts w:ascii="Times New Roman" w:eastAsia="Times New Roman" w:hAnsi="Times New Roman" w:cs="Times New Roman"/>
                <w:b/>
                <w:bCs/>
                <w:color w:val="auto"/>
                <w:sz w:val="28"/>
                <w:szCs w:val="28"/>
              </w:rPr>
            </w:pPr>
            <w:r w:rsidRPr="000A37BF">
              <w:rPr>
                <w:rFonts w:ascii="Times New Roman" w:eastAsia="Times New Roman" w:hAnsi="Times New Roman" w:cs="Times New Roman"/>
                <w:b/>
                <w:bCs/>
                <w:color w:val="auto"/>
                <w:sz w:val="28"/>
                <w:szCs w:val="28"/>
              </w:rPr>
              <w:t>CHỦ TỊCH</w:t>
            </w:r>
            <w:r w:rsidRPr="000A37BF">
              <w:rPr>
                <w:rFonts w:ascii="Times New Roman" w:eastAsia="Times New Roman" w:hAnsi="Times New Roman" w:cs="Times New Roman"/>
                <w:b/>
                <w:bCs/>
                <w:color w:val="auto"/>
                <w:sz w:val="28"/>
                <w:szCs w:val="28"/>
              </w:rPr>
              <w:br/>
            </w:r>
          </w:p>
          <w:p w14:paraId="0663FFFE" w14:textId="77777777" w:rsidR="005175ED" w:rsidRPr="000A37BF" w:rsidRDefault="00336E93" w:rsidP="000A37BF">
            <w:pPr>
              <w:jc w:val="center"/>
              <w:rPr>
                <w:rFonts w:ascii="Times New Roman" w:eastAsia="Times New Roman" w:hAnsi="Times New Roman" w:cs="Times New Roman"/>
                <w:b/>
                <w:bCs/>
                <w:color w:val="auto"/>
                <w:sz w:val="28"/>
                <w:szCs w:val="28"/>
              </w:rPr>
            </w:pPr>
            <w:r w:rsidRPr="000A37BF">
              <w:rPr>
                <w:rFonts w:ascii="Times New Roman" w:eastAsia="Times New Roman" w:hAnsi="Times New Roman" w:cs="Times New Roman"/>
                <w:b/>
                <w:bCs/>
                <w:i/>
                <w:iCs/>
                <w:color w:val="auto"/>
                <w:sz w:val="28"/>
                <w:szCs w:val="28"/>
              </w:rPr>
              <w:br/>
            </w:r>
            <w:r w:rsidRPr="000A37BF">
              <w:rPr>
                <w:rFonts w:ascii="Times New Roman" w:eastAsia="Times New Roman" w:hAnsi="Times New Roman" w:cs="Times New Roman"/>
                <w:b/>
                <w:bCs/>
                <w:i/>
                <w:iCs/>
                <w:color w:val="auto"/>
                <w:sz w:val="28"/>
                <w:szCs w:val="28"/>
              </w:rPr>
              <w:br/>
            </w:r>
          </w:p>
          <w:p w14:paraId="1FFC1249" w14:textId="77777777" w:rsidR="000A37BF" w:rsidRPr="000A37BF" w:rsidRDefault="000A37BF" w:rsidP="000A37BF">
            <w:pPr>
              <w:jc w:val="center"/>
              <w:rPr>
                <w:rFonts w:ascii="Times New Roman" w:eastAsia="Times New Roman" w:hAnsi="Times New Roman" w:cs="Times New Roman"/>
                <w:b/>
                <w:bCs/>
                <w:color w:val="auto"/>
                <w:sz w:val="28"/>
                <w:szCs w:val="28"/>
              </w:rPr>
            </w:pPr>
          </w:p>
          <w:p w14:paraId="37446F2C" w14:textId="600C78A7" w:rsidR="000A37BF" w:rsidRPr="000A37BF" w:rsidRDefault="000A37BF" w:rsidP="000A37BF">
            <w:pPr>
              <w:tabs>
                <w:tab w:val="left" w:pos="1340"/>
              </w:tabs>
              <w:jc w:val="center"/>
              <w:rPr>
                <w:rFonts w:ascii="Times New Roman" w:eastAsia="Times New Roman" w:hAnsi="Times New Roman" w:cs="Times New Roman"/>
                <w:b/>
                <w:bCs/>
                <w:sz w:val="28"/>
                <w:szCs w:val="28"/>
              </w:rPr>
            </w:pPr>
            <w:r w:rsidRPr="000A37BF">
              <w:rPr>
                <w:rFonts w:ascii="Times New Roman" w:eastAsia="Times New Roman" w:hAnsi="Times New Roman" w:cs="Times New Roman"/>
                <w:b/>
                <w:bCs/>
                <w:sz w:val="28"/>
                <w:szCs w:val="28"/>
              </w:rPr>
              <w:t>Nguyễn Thành Tâm</w:t>
            </w:r>
          </w:p>
        </w:tc>
      </w:tr>
    </w:tbl>
    <w:p w14:paraId="0F7726EA" w14:textId="77777777" w:rsidR="005175ED" w:rsidRPr="000A37BF" w:rsidRDefault="005175ED">
      <w:pPr>
        <w:tabs>
          <w:tab w:val="right" w:leader="dot" w:pos="8640"/>
        </w:tabs>
        <w:rPr>
          <w:rFonts w:ascii="Times New Roman" w:hAnsi="Times New Roman" w:cs="Times New Roman"/>
          <w:b/>
          <w:bCs/>
          <w:i/>
          <w:iCs/>
          <w:color w:val="auto"/>
          <w:sz w:val="22"/>
          <w:szCs w:val="22"/>
        </w:rPr>
      </w:pPr>
    </w:p>
    <w:p w14:paraId="691C97BA" w14:textId="77777777" w:rsidR="005175ED" w:rsidRPr="003270BB" w:rsidRDefault="005175ED">
      <w:pPr>
        <w:rPr>
          <w:color w:val="auto"/>
        </w:rPr>
      </w:pPr>
    </w:p>
    <w:sectPr w:rsidR="005175ED" w:rsidRPr="003270BB" w:rsidSect="00637FC7">
      <w:headerReference w:type="default" r:id="rId8"/>
      <w:pgSz w:w="11907" w:h="16840"/>
      <w:pgMar w:top="1134" w:right="1134"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AC523" w14:textId="77777777" w:rsidR="009945E2" w:rsidRDefault="009945E2">
      <w:r>
        <w:separator/>
      </w:r>
    </w:p>
  </w:endnote>
  <w:endnote w:type="continuationSeparator" w:id="0">
    <w:p w14:paraId="032759D3" w14:textId="77777777" w:rsidR="009945E2" w:rsidRDefault="0099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3895" w14:textId="77777777" w:rsidR="009945E2" w:rsidRDefault="009945E2">
      <w:r>
        <w:separator/>
      </w:r>
    </w:p>
  </w:footnote>
  <w:footnote w:type="continuationSeparator" w:id="0">
    <w:p w14:paraId="014CAE23" w14:textId="77777777" w:rsidR="009945E2" w:rsidRDefault="0099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9CB51" w14:textId="34B62889" w:rsidR="005175ED" w:rsidRDefault="00336E93">
    <w:pPr>
      <w:pStyle w:val="Header"/>
      <w:jc w:val="cente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FF21B4">
      <w:rPr>
        <w:rFonts w:ascii="Times New Roman" w:hAnsi="Times New Roman"/>
        <w:noProof/>
        <w:sz w:val="26"/>
        <w:szCs w:val="26"/>
      </w:rPr>
      <w:t>4</w:t>
    </w:r>
    <w:r>
      <w:rPr>
        <w:rFonts w:ascii="Times New Roman" w:hAnsi="Times New Roman"/>
        <w:sz w:val="26"/>
        <w:szCs w:val="26"/>
      </w:rPr>
      <w:fldChar w:fldCharType="end"/>
    </w:r>
  </w:p>
  <w:p w14:paraId="4179A9D5" w14:textId="77777777" w:rsidR="005175ED" w:rsidRDefault="00517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4C4C"/>
    <w:multiLevelType w:val="multilevel"/>
    <w:tmpl w:val="9A1E08C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38845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ED"/>
    <w:rsid w:val="00056AAD"/>
    <w:rsid w:val="000A190B"/>
    <w:rsid w:val="000A37BF"/>
    <w:rsid w:val="001F1B6E"/>
    <w:rsid w:val="00244976"/>
    <w:rsid w:val="002F07D1"/>
    <w:rsid w:val="00322E24"/>
    <w:rsid w:val="003270BB"/>
    <w:rsid w:val="00336E93"/>
    <w:rsid w:val="004C3AB8"/>
    <w:rsid w:val="005175ED"/>
    <w:rsid w:val="00551468"/>
    <w:rsid w:val="005D6143"/>
    <w:rsid w:val="00612AA9"/>
    <w:rsid w:val="00637FC7"/>
    <w:rsid w:val="006C2720"/>
    <w:rsid w:val="007B6754"/>
    <w:rsid w:val="009945E2"/>
    <w:rsid w:val="009B06B9"/>
    <w:rsid w:val="00A93E02"/>
    <w:rsid w:val="00AA7601"/>
    <w:rsid w:val="00AF1507"/>
    <w:rsid w:val="00AF2491"/>
    <w:rsid w:val="00B25BBB"/>
    <w:rsid w:val="00B66A74"/>
    <w:rsid w:val="00B95C8C"/>
    <w:rsid w:val="00D02B27"/>
    <w:rsid w:val="00D41D14"/>
    <w:rsid w:val="00DD026B"/>
    <w:rsid w:val="00DE0073"/>
    <w:rsid w:val="00EB7B06"/>
    <w:rsid w:val="00F57F43"/>
    <w:rsid w:val="00F6797C"/>
    <w:rsid w:val="00FF2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4963"/>
  <w15:docId w15:val="{22E05F5B-DA9E-4FED-BE18-827B5440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eastAsia="Courier New" w:hAnsi="Courier New" w:cs="Courier New"/>
      <w:color w:val="000000"/>
      <w:sz w:val="24"/>
      <w:szCs w:val="24"/>
      <w:lang w:val="vi-VN"/>
    </w:rPr>
  </w:style>
  <w:style w:type="paragraph" w:styleId="Heading3">
    <w:name w:val="heading 3"/>
    <w:basedOn w:val="Normal"/>
    <w:next w:val="Normal"/>
    <w:link w:val="Heading3Char"/>
    <w:uiPriority w:val="9"/>
    <w:unhideWhenUsed/>
    <w:qFormat/>
    <w:pPr>
      <w:keepNext/>
      <w:widowControl/>
      <w:outlineLvl w:val="2"/>
    </w:pPr>
    <w:rPr>
      <w:rFonts w:ascii="Times New Roman" w:eastAsia="Times New Roman" w:hAnsi="Times New Roman" w:cs="Times New Roman"/>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imes New Roman"/>
      <w:sz w:val="16"/>
      <w:szCs w:val="16"/>
    </w:rPr>
  </w:style>
  <w:style w:type="paragraph" w:styleId="NormalWeb">
    <w:name w:val="Normal (Web)"/>
    <w:basedOn w:val="Normal"/>
    <w:pPr>
      <w:widowControl/>
      <w:spacing w:before="100" w:beforeAutospacing="1" w:after="100" w:afterAutospacing="1"/>
    </w:pPr>
    <w:rPr>
      <w:rFonts w:ascii="Times New Roman" w:eastAsia="Times New Roman" w:hAnsi="Times New Roman" w:cs="Times New Roman"/>
      <w:color w:val="auto"/>
      <w:lang w:val="en-US"/>
    </w:rPr>
  </w:style>
  <w:style w:type="paragraph" w:styleId="BodyText2">
    <w:name w:val="Body Text 2"/>
    <w:basedOn w:val="Normal"/>
    <w:link w:val="BodyText2Char"/>
    <w:pPr>
      <w:widowControl/>
      <w:jc w:val="both"/>
    </w:pPr>
    <w:rPr>
      <w:rFonts w:ascii="Times New Roman" w:eastAsia="Times New Roman" w:hAnsi="Times New Roman" w:cs="Times New Roman"/>
      <w:color w:val="auto"/>
      <w:sz w:val="28"/>
      <w:szCs w:val="28"/>
    </w:rPr>
  </w:style>
  <w:style w:type="paragraph" w:styleId="ListParagraph">
    <w:name w:val="List Paragraph"/>
    <w:basedOn w:val="Normal"/>
    <w:qFormat/>
    <w:pPr>
      <w:ind w:left="720"/>
      <w:contextualSpacing/>
    </w:pPr>
  </w:style>
  <w:style w:type="paragraph" w:customStyle="1" w:styleId="Char">
    <w:name w:val="Char"/>
    <w:basedOn w:val="Normal"/>
    <w:pPr>
      <w:widowControl/>
      <w:spacing w:after="160" w:line="240" w:lineRule="exact"/>
    </w:pPr>
    <w:rPr>
      <w:rFonts w:ascii="Arial" w:eastAsia="Times New Roman" w:hAnsi="Arial" w:cs="Times New Roman"/>
      <w:color w:val="auto"/>
      <w:sz w:val="22"/>
      <w:szCs w:val="22"/>
      <w:lang w:val="en-US"/>
    </w:rPr>
  </w:style>
  <w:style w:type="paragraph" w:styleId="Header">
    <w:name w:val="header"/>
    <w:basedOn w:val="Normal"/>
    <w:link w:val="HeaderChar"/>
    <w:pPr>
      <w:tabs>
        <w:tab w:val="center" w:pos="4680"/>
        <w:tab w:val="right" w:pos="9360"/>
      </w:tabs>
    </w:pPr>
    <w:rPr>
      <w:rFonts w:cs="Times New Roman"/>
    </w:rPr>
  </w:style>
  <w:style w:type="paragraph" w:styleId="Footer">
    <w:name w:val="footer"/>
    <w:basedOn w:val="Normal"/>
    <w:link w:val="FooterChar"/>
    <w:pPr>
      <w:tabs>
        <w:tab w:val="center" w:pos="4680"/>
        <w:tab w:val="right" w:pos="9360"/>
      </w:tabs>
    </w:pPr>
    <w:rPr>
      <w:rFonts w:cs="Times New Roman"/>
    </w:rPr>
  </w:style>
  <w:style w:type="paragraph" w:styleId="BodyTextIndent">
    <w:name w:val="Body Text Indent"/>
    <w:basedOn w:val="Normal"/>
    <w:link w:val="BodyTextIndentChar"/>
    <w:pPr>
      <w:spacing w:after="120"/>
      <w:ind w:left="360"/>
    </w:pPr>
    <w:rPr>
      <w:rFonts w:cs="Times New Roman"/>
    </w:rPr>
  </w:style>
  <w:style w:type="paragraph" w:styleId="BodyTextIndent3">
    <w:name w:val="Body Text Indent 3"/>
    <w:basedOn w:val="Normal"/>
    <w:link w:val="BodyTextIndent3Char"/>
    <w:pPr>
      <w:spacing w:after="120"/>
      <w:ind w:left="360"/>
    </w:pPr>
    <w:rPr>
      <w:rFonts w:cs="Times New Roman"/>
      <w:sz w:val="16"/>
      <w:szCs w:val="16"/>
    </w:rPr>
  </w:style>
  <w:style w:type="paragraph" w:styleId="FootnoteText">
    <w:name w:val="footnote text"/>
    <w:link w:val="FootnoteTextChar"/>
    <w:semiHidden/>
  </w:style>
  <w:style w:type="paragraph" w:styleId="EndnoteText">
    <w:name w:val="endnote text"/>
    <w:link w:val="EndnoteTextChar"/>
    <w:semiHidden/>
  </w:style>
  <w:style w:type="character" w:styleId="LineNumber">
    <w:name w:val="line number"/>
    <w:basedOn w:val="DefaultParagraphFont"/>
    <w:semiHidden/>
  </w:style>
  <w:style w:type="character" w:styleId="Hyperlink">
    <w:name w:val="Hyperlink"/>
    <w:rPr>
      <w:color w:val="0000FF"/>
      <w:u w:val="single"/>
    </w:rPr>
  </w:style>
  <w:style w:type="character" w:customStyle="1" w:styleId="BalloonTextChar">
    <w:name w:val="Balloon Text Char"/>
    <w:link w:val="BalloonText"/>
    <w:rPr>
      <w:rFonts w:ascii="Tahoma" w:eastAsia="Courier New" w:hAnsi="Tahoma" w:cs="Tahoma"/>
      <w:color w:val="000000"/>
      <w:sz w:val="16"/>
      <w:szCs w:val="16"/>
      <w:lang w:val="vi-VN"/>
    </w:rPr>
  </w:style>
  <w:style w:type="character" w:customStyle="1" w:styleId="Heading3Char">
    <w:name w:val="Heading 3 Char"/>
    <w:link w:val="Heading3"/>
    <w:rPr>
      <w:rFonts w:ascii="Times New Roman" w:eastAsia="Times New Roman" w:hAnsi="Times New Roman" w:cs="Times New Roman"/>
      <w:b/>
      <w:bCs/>
      <w:sz w:val="28"/>
      <w:szCs w:val="28"/>
    </w:rPr>
  </w:style>
  <w:style w:type="character" w:customStyle="1" w:styleId="BodyText2Char">
    <w:name w:val="Body Text 2 Char"/>
    <w:link w:val="BodyText2"/>
    <w:rPr>
      <w:rFonts w:ascii="Times New Roman" w:eastAsia="Times New Roman" w:hAnsi="Times New Roman" w:cs="Times New Roman"/>
      <w:sz w:val="28"/>
      <w:szCs w:val="28"/>
    </w:rPr>
  </w:style>
  <w:style w:type="character" w:customStyle="1" w:styleId="HeaderChar">
    <w:name w:val="Header Char"/>
    <w:link w:val="Header"/>
    <w:rPr>
      <w:rFonts w:ascii="Courier New" w:eastAsia="Courier New" w:hAnsi="Courier New" w:cs="Courier New"/>
      <w:color w:val="000000"/>
      <w:sz w:val="24"/>
      <w:szCs w:val="24"/>
      <w:lang w:val="vi-VN"/>
    </w:rPr>
  </w:style>
  <w:style w:type="character" w:customStyle="1" w:styleId="FooterChar">
    <w:name w:val="Footer Char"/>
    <w:link w:val="Footer"/>
    <w:rPr>
      <w:rFonts w:ascii="Courier New" w:eastAsia="Courier New" w:hAnsi="Courier New" w:cs="Courier New"/>
      <w:color w:val="000000"/>
      <w:sz w:val="24"/>
      <w:szCs w:val="24"/>
      <w:lang w:val="vi-VN"/>
    </w:rPr>
  </w:style>
  <w:style w:type="character" w:customStyle="1" w:styleId="BodyTextIndentChar">
    <w:name w:val="Body Text Indent Char"/>
    <w:link w:val="BodyTextIndent"/>
    <w:rPr>
      <w:rFonts w:ascii="Courier New" w:eastAsia="Courier New" w:hAnsi="Courier New" w:cs="Courier New"/>
      <w:color w:val="000000"/>
      <w:sz w:val="24"/>
      <w:szCs w:val="24"/>
      <w:lang w:val="vi-VN"/>
    </w:rPr>
  </w:style>
  <w:style w:type="character" w:customStyle="1" w:styleId="BodyTextIndent3Char">
    <w:name w:val="Body Text Indent 3 Char"/>
    <w:link w:val="BodyTextIndent3"/>
    <w:rPr>
      <w:rFonts w:ascii="Courier New" w:eastAsia="Courier New" w:hAnsi="Courier New" w:cs="Courier New"/>
      <w:color w:val="000000"/>
      <w:sz w:val="16"/>
      <w:szCs w:val="16"/>
      <w:lang w:val="vi-VN"/>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74E3B-D8BB-43F5-AE1C-3281B437CCD8}">
  <ds:schemaRefs>
    <ds:schemaRef ds:uri="http://schemas.openxmlformats.org/officeDocument/2006/bibliography"/>
  </ds:schemaRefs>
</ds:datastoreItem>
</file>

<file path=customXml/itemProps2.xml><?xml version="1.0" encoding="utf-8"?>
<ds:datastoreItem xmlns:ds="http://schemas.openxmlformats.org/officeDocument/2006/customXml" ds:itemID="{03D7FDBC-86FA-4E41-8713-76069FE6FE3E}"/>
</file>

<file path=customXml/itemProps3.xml><?xml version="1.0" encoding="utf-8"?>
<ds:datastoreItem xmlns:ds="http://schemas.openxmlformats.org/officeDocument/2006/customXml" ds:itemID="{57BCBCE0-E18D-45F5-AAB0-E0E77F6929D5}"/>
</file>

<file path=customXml/itemProps4.xml><?xml version="1.0" encoding="utf-8"?>
<ds:datastoreItem xmlns:ds="http://schemas.openxmlformats.org/officeDocument/2006/customXml" ds:itemID="{EA0116CC-B11D-4572-8D7C-861F1FE125E4}"/>
</file>

<file path=docProps/app.xml><?xml version="1.0" encoding="utf-8"?>
<Properties xmlns="http://schemas.openxmlformats.org/officeDocument/2006/extended-properties" xmlns:vt="http://schemas.openxmlformats.org/officeDocument/2006/docPropsVTypes">
  <Template>Normal</Template>
  <TotalTime>2</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2024-03-22T10:59:00Z</cp:lastPrinted>
  <dcterms:created xsi:type="dcterms:W3CDTF">2024-04-04T01:21:00Z</dcterms:created>
  <dcterms:modified xsi:type="dcterms:W3CDTF">2024-04-04T01:21:00Z</dcterms:modified>
</cp:coreProperties>
</file>