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4" w:type="dxa"/>
        <w:jc w:val="center"/>
        <w:tblLook w:val="01E0" w:firstRow="1" w:lastRow="1" w:firstColumn="1" w:lastColumn="1" w:noHBand="0" w:noVBand="0"/>
      </w:tblPr>
      <w:tblGrid>
        <w:gridCol w:w="3332"/>
        <w:gridCol w:w="6312"/>
      </w:tblGrid>
      <w:tr w:rsidR="0033128D" w:rsidRPr="00D839C7" w14:paraId="144029E6" w14:textId="77777777" w:rsidTr="000D403D">
        <w:trPr>
          <w:trHeight w:val="840"/>
          <w:jc w:val="center"/>
        </w:trPr>
        <w:tc>
          <w:tcPr>
            <w:tcW w:w="3332" w:type="dxa"/>
          </w:tcPr>
          <w:p w14:paraId="66ED6580" w14:textId="77777777" w:rsidR="0033128D" w:rsidRPr="00D839C7" w:rsidRDefault="0033128D" w:rsidP="00BD76AE">
            <w:pPr>
              <w:spacing w:line="240" w:lineRule="auto"/>
              <w:rPr>
                <w:b/>
                <w:sz w:val="26"/>
              </w:rPr>
            </w:pPr>
            <w:r w:rsidRPr="00D839C7">
              <w:rPr>
                <w:b/>
                <w:sz w:val="26"/>
              </w:rPr>
              <w:t>UỶ BAN NHÂN DÂN</w:t>
            </w:r>
          </w:p>
          <w:p w14:paraId="233210AB" w14:textId="77777777" w:rsidR="00BD76AE" w:rsidRPr="00D839C7" w:rsidRDefault="00AE7163" w:rsidP="00BD76AE">
            <w:pPr>
              <w:spacing w:line="240" w:lineRule="auto"/>
              <w:rPr>
                <w:b/>
                <w:sz w:val="26"/>
                <w:szCs w:val="26"/>
              </w:rPr>
            </w:pPr>
            <w:r w:rsidRPr="00D839C7">
              <w:rPr>
                <w:noProof/>
                <w:sz w:val="26"/>
                <w:szCs w:val="26"/>
              </w:rPr>
              <mc:AlternateContent>
                <mc:Choice Requires="wps">
                  <w:drawing>
                    <wp:anchor distT="4294967294" distB="4294967294" distL="114300" distR="114300" simplePos="0" relativeHeight="251660288" behindDoc="0" locked="0" layoutInCell="1" allowOverlap="1" wp14:anchorId="75BD0DD0" wp14:editId="4BB2F05C">
                      <wp:simplePos x="0" y="0"/>
                      <wp:positionH relativeFrom="column">
                        <wp:posOffset>567690</wp:posOffset>
                      </wp:positionH>
                      <wp:positionV relativeFrom="paragraph">
                        <wp:posOffset>195580</wp:posOffset>
                      </wp:positionV>
                      <wp:extent cx="791845"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35944ED7" id="Line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4.7pt,15.4pt" to="107.0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oEt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"/>
                  </w:pict>
                </mc:Fallback>
              </mc:AlternateContent>
            </w:r>
            <w:r w:rsidR="0033128D" w:rsidRPr="00D839C7">
              <w:rPr>
                <w:b/>
                <w:sz w:val="26"/>
                <w:szCs w:val="26"/>
              </w:rPr>
              <w:t>TỈNH BÌNH PHƯỚC</w:t>
            </w:r>
          </w:p>
          <w:p w14:paraId="3C5BD9B5" w14:textId="784B7112" w:rsidR="00BD76AE" w:rsidRPr="00D839C7" w:rsidRDefault="00BD76AE" w:rsidP="008B3DFC">
            <w:pPr>
              <w:spacing w:before="120" w:after="120" w:line="240" w:lineRule="auto"/>
              <w:rPr>
                <w:b/>
                <w:sz w:val="26"/>
                <w:szCs w:val="26"/>
              </w:rPr>
            </w:pPr>
            <w:r w:rsidRPr="00D839C7">
              <w:rPr>
                <w:sz w:val="26"/>
              </w:rPr>
              <w:t xml:space="preserve">Số: </w:t>
            </w:r>
            <w:r w:rsidR="008B3DFC">
              <w:rPr>
                <w:sz w:val="26"/>
              </w:rPr>
              <w:t>42</w:t>
            </w:r>
            <w:r w:rsidRPr="00D839C7">
              <w:rPr>
                <w:sz w:val="26"/>
              </w:rPr>
              <w:t>/202</w:t>
            </w:r>
            <w:r w:rsidRPr="00D839C7">
              <w:rPr>
                <w:sz w:val="26"/>
                <w:lang w:val="vi-VN"/>
              </w:rPr>
              <w:t>4</w:t>
            </w:r>
            <w:r w:rsidRPr="00D839C7">
              <w:rPr>
                <w:sz w:val="26"/>
              </w:rPr>
              <w:t>/QĐ-UBND</w:t>
            </w:r>
          </w:p>
        </w:tc>
        <w:tc>
          <w:tcPr>
            <w:tcW w:w="6312" w:type="dxa"/>
          </w:tcPr>
          <w:p w14:paraId="2ABBD869" w14:textId="77777777" w:rsidR="0033128D" w:rsidRPr="00D839C7" w:rsidRDefault="0033128D" w:rsidP="00BD76AE">
            <w:pPr>
              <w:spacing w:line="240" w:lineRule="auto"/>
              <w:rPr>
                <w:b/>
                <w:bCs/>
                <w:sz w:val="26"/>
              </w:rPr>
            </w:pPr>
            <w:r w:rsidRPr="00D839C7">
              <w:rPr>
                <w:b/>
                <w:bCs/>
                <w:sz w:val="26"/>
              </w:rPr>
              <w:t>CỘNG HOÀ XÃ HỘI CHỦ NGHĨA VIỆT NAM</w:t>
            </w:r>
          </w:p>
          <w:p w14:paraId="29AF509A" w14:textId="77777777" w:rsidR="00BD76AE" w:rsidRPr="00D839C7" w:rsidRDefault="00AE7163" w:rsidP="00BD76AE">
            <w:pPr>
              <w:spacing w:line="240" w:lineRule="auto"/>
              <w:rPr>
                <w:i/>
                <w:iCs/>
              </w:rPr>
            </w:pPr>
            <w:r w:rsidRPr="00D839C7">
              <w:rPr>
                <w:noProof/>
              </w:rPr>
              <mc:AlternateContent>
                <mc:Choice Requires="wps">
                  <w:drawing>
                    <wp:anchor distT="4294967294" distB="4294967294" distL="114300" distR="114300" simplePos="0" relativeHeight="251661312" behindDoc="0" locked="0" layoutInCell="1" allowOverlap="1" wp14:anchorId="3E9D5097" wp14:editId="7A136CDC">
                      <wp:simplePos x="0" y="0"/>
                      <wp:positionH relativeFrom="column">
                        <wp:posOffset>841375</wp:posOffset>
                      </wp:positionH>
                      <wp:positionV relativeFrom="paragraph">
                        <wp:posOffset>208915</wp:posOffset>
                      </wp:positionV>
                      <wp:extent cx="216027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134C4757" id="Line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25pt,16.45pt" to="236.3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1QU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"/>
                  </w:pict>
                </mc:Fallback>
              </mc:AlternateContent>
            </w:r>
            <w:r w:rsidR="0033128D" w:rsidRPr="00D839C7">
              <w:rPr>
                <w:b/>
                <w:bCs/>
              </w:rPr>
              <w:t>Độc lập - Tự do - Hạnh phúc</w:t>
            </w:r>
            <w:r w:rsidR="00BD76AE" w:rsidRPr="00D839C7">
              <w:rPr>
                <w:i/>
                <w:iCs/>
              </w:rPr>
              <w:t xml:space="preserve"> </w:t>
            </w:r>
          </w:p>
          <w:p w14:paraId="0369FDF4" w14:textId="19FC2A40" w:rsidR="0033128D" w:rsidRPr="00D839C7" w:rsidRDefault="00BD76AE" w:rsidP="008B3DFC">
            <w:pPr>
              <w:spacing w:before="120" w:after="120" w:line="240" w:lineRule="auto"/>
              <w:rPr>
                <w:b/>
                <w:bCs/>
              </w:rPr>
            </w:pPr>
            <w:r w:rsidRPr="00D839C7">
              <w:rPr>
                <w:i/>
                <w:iCs/>
              </w:rPr>
              <w:t xml:space="preserve">     Bình Phước, ngày </w:t>
            </w:r>
            <w:r w:rsidR="008B3DFC">
              <w:rPr>
                <w:i/>
                <w:iCs/>
              </w:rPr>
              <w:t xml:space="preserve">28 </w:t>
            </w:r>
            <w:r w:rsidRPr="00D839C7">
              <w:rPr>
                <w:i/>
                <w:iCs/>
              </w:rPr>
              <w:t xml:space="preserve"> tháng </w:t>
            </w:r>
            <w:r w:rsidR="008B3DFC">
              <w:rPr>
                <w:i/>
                <w:iCs/>
              </w:rPr>
              <w:t>11</w:t>
            </w:r>
            <w:r w:rsidRPr="00D839C7">
              <w:rPr>
                <w:i/>
                <w:iCs/>
              </w:rPr>
              <w:t xml:space="preserve"> năm 20</w:t>
            </w:r>
            <w:r w:rsidRPr="00D839C7">
              <w:rPr>
                <w:i/>
                <w:iCs/>
                <w:lang w:val="vi-VN"/>
              </w:rPr>
              <w:t>24</w:t>
            </w:r>
          </w:p>
        </w:tc>
      </w:tr>
    </w:tbl>
    <w:p w14:paraId="60A1C910" w14:textId="220E80DA" w:rsidR="00D93FE3" w:rsidRPr="00D839C7" w:rsidRDefault="00981171" w:rsidP="00981171">
      <w:pPr>
        <w:tabs>
          <w:tab w:val="left" w:pos="4920"/>
        </w:tabs>
        <w:spacing w:line="240" w:lineRule="auto"/>
        <w:jc w:val="both"/>
        <w:rPr>
          <w:b/>
          <w:bCs/>
          <w:sz w:val="24"/>
          <w:szCs w:val="24"/>
        </w:rPr>
      </w:pPr>
      <w:r w:rsidRPr="00D839C7">
        <w:rPr>
          <w:b/>
          <w:bCs/>
        </w:rPr>
        <w:tab/>
      </w:r>
    </w:p>
    <w:p w14:paraId="39AB5895" w14:textId="77777777" w:rsidR="0033128D" w:rsidRPr="00D839C7" w:rsidRDefault="0033128D" w:rsidP="0033128D">
      <w:pPr>
        <w:tabs>
          <w:tab w:val="left" w:pos="567"/>
        </w:tabs>
        <w:spacing w:line="240" w:lineRule="auto"/>
        <w:rPr>
          <w:b/>
          <w:bCs/>
          <w:sz w:val="22"/>
          <w:szCs w:val="22"/>
          <w:lang w:val="vi-VN"/>
        </w:rPr>
      </w:pPr>
    </w:p>
    <w:p w14:paraId="7D7229F0" w14:textId="77777777" w:rsidR="0033128D" w:rsidRPr="00D839C7" w:rsidRDefault="0033128D" w:rsidP="00A943DC">
      <w:pPr>
        <w:tabs>
          <w:tab w:val="left" w:pos="567"/>
        </w:tabs>
        <w:spacing w:line="240" w:lineRule="auto"/>
        <w:rPr>
          <w:b/>
          <w:bCs/>
          <w:lang w:val="vi-VN"/>
        </w:rPr>
      </w:pPr>
      <w:r w:rsidRPr="00D839C7">
        <w:rPr>
          <w:b/>
          <w:bCs/>
          <w:lang w:val="vi-VN"/>
        </w:rPr>
        <w:t>QUYẾT ĐỊNH</w:t>
      </w:r>
    </w:p>
    <w:p w14:paraId="71F24862" w14:textId="79CA618E" w:rsidR="00D349BA" w:rsidRPr="0015748D" w:rsidRDefault="007F571C" w:rsidP="00106E5C">
      <w:pPr>
        <w:pStyle w:val="Header"/>
        <w:rPr>
          <w:lang w:val="vi-VN"/>
        </w:rPr>
      </w:pPr>
      <w:bookmarkStart w:id="0" w:name="_Hlk173745818"/>
      <w:r w:rsidRPr="00D839C7">
        <w:rPr>
          <w:b/>
          <w:lang w:val="vi-VN"/>
        </w:rPr>
        <w:t>Sửa đổi</w:t>
      </w:r>
      <w:r w:rsidR="00D349BA" w:rsidRPr="00D839C7">
        <w:rPr>
          <w:b/>
          <w:lang w:val="vi-VN"/>
        </w:rPr>
        <w:t xml:space="preserve">, bổ sung một số điều của </w:t>
      </w:r>
      <w:r w:rsidR="00F749C1" w:rsidRPr="00D839C7">
        <w:rPr>
          <w:b/>
          <w:lang w:val="vi-VN"/>
        </w:rPr>
        <w:t>Quy chế</w:t>
      </w:r>
      <w:r w:rsidR="00106E5C" w:rsidRPr="0015748D">
        <w:rPr>
          <w:b/>
          <w:lang w:val="vi-VN"/>
        </w:rPr>
        <w:t xml:space="preserve"> </w:t>
      </w:r>
      <w:r w:rsidR="00D349BA" w:rsidRPr="00D839C7">
        <w:rPr>
          <w:b/>
          <w:lang w:val="vi-VN"/>
        </w:rPr>
        <w:t xml:space="preserve">xây dựng, quản lý và thực hiện chương trình xúc tiến thương mại tỉnh Bình Phước ban hành kèm theo Quyết định số 14/2021/QĐ-UBND ngày 13 tháng 5 năm 2021 </w:t>
      </w:r>
    </w:p>
    <w:p w14:paraId="2B1383F9" w14:textId="6862EE78" w:rsidR="007F571C" w:rsidRPr="0015748D" w:rsidRDefault="00D349BA" w:rsidP="00A943DC">
      <w:pPr>
        <w:spacing w:line="240" w:lineRule="auto"/>
        <w:rPr>
          <w:b/>
          <w:lang w:val="vi-VN"/>
        </w:rPr>
      </w:pPr>
      <w:r w:rsidRPr="00D839C7">
        <w:rPr>
          <w:b/>
          <w:lang w:val="vi-VN"/>
        </w:rPr>
        <w:t>của Ủy ban nhân dân tỉnh Bình Phướ</w:t>
      </w:r>
      <w:r w:rsidR="002C74F0">
        <w:rPr>
          <w:b/>
          <w:lang w:val="vi-VN"/>
        </w:rPr>
        <w:t>c</w:t>
      </w:r>
    </w:p>
    <w:bookmarkEnd w:id="0"/>
    <w:p w14:paraId="405F169D" w14:textId="77777777" w:rsidR="0033128D" w:rsidRPr="00D839C7" w:rsidRDefault="0033128D" w:rsidP="00160F21">
      <w:pPr>
        <w:spacing w:before="60" w:after="60" w:line="240" w:lineRule="auto"/>
        <w:rPr>
          <w:b/>
          <w:lang w:val="vi-VN"/>
        </w:rPr>
      </w:pPr>
      <w:r w:rsidRPr="00D839C7">
        <w:rPr>
          <w:b/>
          <w:lang w:val="vi-VN"/>
        </w:rPr>
        <w:t>UỶ BAN NHÂN DÂN TỈNH BÌNH PHƯỚC</w:t>
      </w:r>
    </w:p>
    <w:p w14:paraId="1AF365D8" w14:textId="77777777" w:rsidR="00041A26" w:rsidRPr="00D839C7" w:rsidRDefault="00041A26" w:rsidP="00160F21">
      <w:pPr>
        <w:spacing w:before="60" w:after="60" w:line="240" w:lineRule="auto"/>
        <w:rPr>
          <w:b/>
          <w:sz w:val="10"/>
          <w:szCs w:val="10"/>
          <w:lang w:val="vi-VN"/>
        </w:rPr>
      </w:pPr>
    </w:p>
    <w:p w14:paraId="0696DD06" w14:textId="77777777" w:rsidR="007028D0" w:rsidRPr="00EF111E" w:rsidRDefault="0033128D" w:rsidP="00EF111E">
      <w:pPr>
        <w:spacing w:before="60" w:after="60" w:line="240" w:lineRule="auto"/>
        <w:ind w:firstLine="567"/>
        <w:jc w:val="both"/>
        <w:rPr>
          <w:i/>
          <w:lang w:val="vi-VN"/>
        </w:rPr>
      </w:pPr>
      <w:bookmarkStart w:id="1" w:name="_Hlk173746752"/>
      <w:r w:rsidRPr="00EF111E">
        <w:rPr>
          <w:i/>
          <w:lang w:val="vi-VN"/>
        </w:rPr>
        <w:t>Căn cứ Luật Tổ chức chính quyền đị</w:t>
      </w:r>
      <w:r w:rsidR="00D93FE3" w:rsidRPr="00EF111E">
        <w:rPr>
          <w:i/>
          <w:lang w:val="vi-VN"/>
        </w:rPr>
        <w:t xml:space="preserve">a phương ngày 19 tháng 6 năm </w:t>
      </w:r>
      <w:r w:rsidRPr="00EF111E">
        <w:rPr>
          <w:i/>
          <w:lang w:val="vi-VN"/>
        </w:rPr>
        <w:t xml:space="preserve">2015; </w:t>
      </w:r>
    </w:p>
    <w:p w14:paraId="64A9E294" w14:textId="77777777" w:rsidR="0033128D" w:rsidRPr="00EF111E" w:rsidRDefault="007028D0" w:rsidP="00EF111E">
      <w:pPr>
        <w:spacing w:before="60" w:after="60" w:line="240" w:lineRule="auto"/>
        <w:ind w:firstLine="567"/>
        <w:jc w:val="both"/>
        <w:rPr>
          <w:i/>
          <w:lang w:val="vi-VN"/>
        </w:rPr>
      </w:pPr>
      <w:r w:rsidRPr="00EF111E">
        <w:rPr>
          <w:i/>
          <w:lang w:val="vi-VN"/>
        </w:rPr>
        <w:t xml:space="preserve">Căn cứ </w:t>
      </w:r>
      <w:r w:rsidR="0033128D" w:rsidRPr="00EF111E">
        <w:rPr>
          <w:i/>
          <w:lang w:val="vi-VN"/>
        </w:rPr>
        <w:t>Luật sửa đổi, bổ sung một số điều của Luật Tổ chức Chính phủ và Luật Tổ chức chính quyền đị</w:t>
      </w:r>
      <w:r w:rsidR="00D93FE3" w:rsidRPr="00EF111E">
        <w:rPr>
          <w:i/>
          <w:lang w:val="vi-VN"/>
        </w:rPr>
        <w:t xml:space="preserve">a phương ngày 22 tháng 11 năm </w:t>
      </w:r>
      <w:r w:rsidR="0033128D" w:rsidRPr="00EF111E">
        <w:rPr>
          <w:i/>
          <w:lang w:val="vi-VN"/>
        </w:rPr>
        <w:t xml:space="preserve">2019; </w:t>
      </w:r>
    </w:p>
    <w:p w14:paraId="646638D5" w14:textId="77777777" w:rsidR="007028D0" w:rsidRPr="00EF111E" w:rsidRDefault="0033128D" w:rsidP="00EF111E">
      <w:pPr>
        <w:spacing w:before="60" w:after="60" w:line="240" w:lineRule="auto"/>
        <w:ind w:firstLine="567"/>
        <w:jc w:val="both"/>
        <w:rPr>
          <w:i/>
          <w:spacing w:val="-6"/>
          <w:lang w:val="vi-VN"/>
        </w:rPr>
      </w:pPr>
      <w:r w:rsidRPr="00EF111E">
        <w:rPr>
          <w:i/>
          <w:spacing w:val="-6"/>
          <w:lang w:val="vi-VN"/>
        </w:rPr>
        <w:t>Căn cứ Luật Ban hành văn bản quy phạm pháp luật ngày 22</w:t>
      </w:r>
      <w:r w:rsidR="00D93FE3" w:rsidRPr="00EF111E">
        <w:rPr>
          <w:i/>
          <w:spacing w:val="-6"/>
          <w:lang w:val="vi-VN"/>
        </w:rPr>
        <w:t xml:space="preserve"> tháng 6 năm </w:t>
      </w:r>
      <w:r w:rsidRPr="00EF111E">
        <w:rPr>
          <w:i/>
          <w:spacing w:val="-6"/>
          <w:lang w:val="vi-VN"/>
        </w:rPr>
        <w:t xml:space="preserve">2015; </w:t>
      </w:r>
    </w:p>
    <w:p w14:paraId="409F20E4" w14:textId="77777777" w:rsidR="0033128D" w:rsidRPr="00EF111E" w:rsidRDefault="007028D0" w:rsidP="00EF111E">
      <w:pPr>
        <w:spacing w:before="60" w:after="60" w:line="240" w:lineRule="auto"/>
        <w:ind w:firstLine="567"/>
        <w:jc w:val="both"/>
        <w:rPr>
          <w:i/>
          <w:lang w:val="vi-VN"/>
        </w:rPr>
      </w:pPr>
      <w:r w:rsidRPr="00EF111E">
        <w:rPr>
          <w:i/>
          <w:lang w:val="vi-VN"/>
        </w:rPr>
        <w:t xml:space="preserve">Căn cứ </w:t>
      </w:r>
      <w:r w:rsidR="0033128D" w:rsidRPr="00EF111E">
        <w:rPr>
          <w:i/>
          <w:lang w:val="vi-VN"/>
        </w:rPr>
        <w:t>Luật sửa đổi, bổ sung một số điều của Luật Ban hành văn bản quy phạm pháp luậ</w:t>
      </w:r>
      <w:r w:rsidR="00D93FE3" w:rsidRPr="00EF111E">
        <w:rPr>
          <w:i/>
          <w:lang w:val="vi-VN"/>
        </w:rPr>
        <w:t xml:space="preserve">t ngày 18 tháng 6 năm </w:t>
      </w:r>
      <w:r w:rsidR="0033128D" w:rsidRPr="00EF111E">
        <w:rPr>
          <w:i/>
          <w:lang w:val="vi-VN"/>
        </w:rPr>
        <w:t xml:space="preserve">2020; </w:t>
      </w:r>
    </w:p>
    <w:p w14:paraId="33BD98AE" w14:textId="77777777" w:rsidR="007028D0" w:rsidRPr="00EF111E" w:rsidRDefault="0033128D" w:rsidP="00EF111E">
      <w:pPr>
        <w:spacing w:before="60" w:after="60" w:line="240" w:lineRule="auto"/>
        <w:ind w:firstLine="567"/>
        <w:jc w:val="both"/>
        <w:rPr>
          <w:i/>
          <w:lang w:val="vi-VN"/>
        </w:rPr>
      </w:pPr>
      <w:r w:rsidRPr="00EF111E">
        <w:rPr>
          <w:i/>
          <w:lang w:val="vi-VN"/>
        </w:rPr>
        <w:t>Căn cứ Nghị định số 24/2014/NĐ-CP ngày 04</w:t>
      </w:r>
      <w:r w:rsidR="00D93FE3" w:rsidRPr="00EF111E">
        <w:rPr>
          <w:i/>
          <w:lang w:val="vi-VN"/>
        </w:rPr>
        <w:t xml:space="preserve"> tháng 4 năm </w:t>
      </w:r>
      <w:r w:rsidRPr="00EF111E">
        <w:rPr>
          <w:i/>
          <w:lang w:val="vi-VN"/>
        </w:rPr>
        <w:t xml:space="preserve">2014 của Chính phủ quy định tổ chức các cơ quan chuyên môn thuộc Ủy ban nhân dân tỉnh, thành phố trực thuộc Trung ương; </w:t>
      </w:r>
    </w:p>
    <w:p w14:paraId="1C5953A2" w14:textId="77777777" w:rsidR="00DD4400" w:rsidRPr="00EF111E" w:rsidRDefault="007028D0" w:rsidP="00EF111E">
      <w:pPr>
        <w:spacing w:before="60" w:after="60" w:line="240" w:lineRule="auto"/>
        <w:ind w:firstLine="567"/>
        <w:jc w:val="both"/>
        <w:rPr>
          <w:i/>
          <w:lang w:val="vi-VN"/>
        </w:rPr>
      </w:pPr>
      <w:r w:rsidRPr="00EF111E">
        <w:rPr>
          <w:i/>
          <w:lang w:val="vi-VN"/>
        </w:rPr>
        <w:t xml:space="preserve">Căn cứ </w:t>
      </w:r>
      <w:r w:rsidR="0033128D" w:rsidRPr="00EF111E">
        <w:rPr>
          <w:i/>
          <w:lang w:val="vi-VN"/>
        </w:rPr>
        <w:t>Nghị định số</w:t>
      </w:r>
      <w:r w:rsidR="00D93FE3" w:rsidRPr="00EF111E">
        <w:rPr>
          <w:i/>
          <w:lang w:val="vi-VN"/>
        </w:rPr>
        <w:t xml:space="preserve"> 107/2020/NĐ-CP ngày 14 tháng 9 năm </w:t>
      </w:r>
      <w:r w:rsidR="0033128D" w:rsidRPr="00EF111E">
        <w:rPr>
          <w:i/>
          <w:lang w:val="vi-VN"/>
        </w:rPr>
        <w:t>2020 của Chính phủ sửa đổi, bổ sung một số điều của Nghị định số</w:t>
      </w:r>
      <w:r w:rsidR="00D93FE3" w:rsidRPr="00EF111E">
        <w:rPr>
          <w:i/>
          <w:lang w:val="vi-VN"/>
        </w:rPr>
        <w:t xml:space="preserve"> 24/2014/NĐ-CP ngày 04 tháng 4 năm </w:t>
      </w:r>
      <w:r w:rsidR="0033128D" w:rsidRPr="00EF111E">
        <w:rPr>
          <w:i/>
          <w:lang w:val="vi-VN"/>
        </w:rPr>
        <w:t xml:space="preserve">2014 của Chính phủ quy định tổ chức các cơ quan chuyên môn thuộc Ủy ban nhân dân tỉnh, thành phố trực thuộc Trung ương; </w:t>
      </w:r>
    </w:p>
    <w:p w14:paraId="3D7E57D7" w14:textId="0BAE0E53" w:rsidR="005A5607" w:rsidRPr="00EF111E" w:rsidRDefault="005A5607" w:rsidP="00EF111E">
      <w:pPr>
        <w:shd w:val="clear" w:color="auto" w:fill="FFFFFF"/>
        <w:spacing w:before="60" w:after="60" w:line="240" w:lineRule="auto"/>
        <w:ind w:firstLine="567"/>
        <w:jc w:val="both"/>
        <w:rPr>
          <w:rFonts w:eastAsia="Times New Roman"/>
          <w:i/>
          <w:iCs/>
          <w:lang w:val="vi-VN"/>
        </w:rPr>
      </w:pPr>
      <w:r w:rsidRPr="00EF111E">
        <w:rPr>
          <w:rFonts w:eastAsia="Times New Roman"/>
          <w:i/>
          <w:iCs/>
          <w:lang w:val="vi-VN"/>
        </w:rPr>
        <w:t>Căn cứ Nghị định số </w:t>
      </w:r>
      <w:hyperlink r:id="rId7" w:tgtFrame="_blank" w:tooltip="Nghị định 28/2018/NĐ-CP" w:history="1">
        <w:r w:rsidRPr="00EF111E">
          <w:rPr>
            <w:rFonts w:eastAsia="Times New Roman"/>
            <w:i/>
            <w:iCs/>
            <w:lang w:val="vi-VN"/>
          </w:rPr>
          <w:t>28/2018/NĐ-CP</w:t>
        </w:r>
      </w:hyperlink>
      <w:r w:rsidRPr="00EF111E">
        <w:rPr>
          <w:rFonts w:eastAsia="Times New Roman"/>
          <w:i/>
          <w:iCs/>
          <w:lang w:val="vi-VN"/>
        </w:rPr>
        <w:t> ngày 01 tháng 3 năm 2018 của Chính phủ quy định chi tiết Luật Quản lý ngoại thương về một số biện pháp phát triển ngoại thương;</w:t>
      </w:r>
    </w:p>
    <w:p w14:paraId="2F684611" w14:textId="243EC1E3" w:rsidR="006C7471" w:rsidRPr="00EF111E" w:rsidRDefault="006C7471" w:rsidP="00EF111E">
      <w:pPr>
        <w:spacing w:before="60" w:after="60" w:line="240" w:lineRule="auto"/>
        <w:ind w:firstLine="567"/>
        <w:jc w:val="both"/>
        <w:rPr>
          <w:i/>
          <w:lang w:val="vi-VN"/>
        </w:rPr>
      </w:pPr>
      <w:r w:rsidRPr="00EF111E">
        <w:rPr>
          <w:i/>
          <w:lang w:val="vi-VN"/>
        </w:rPr>
        <w:t xml:space="preserve">Căn cứ </w:t>
      </w:r>
      <w:r w:rsidRPr="00EF111E">
        <w:rPr>
          <w:bCs/>
          <w:i/>
          <w:lang w:val="vi-VN" w:eastAsia="zh-CN"/>
        </w:rPr>
        <w:t>Nghị định số 14/2024/NĐ-CP ngày 07 tháng 02 năm 2014 của Chính phủ sửa đổi</w:t>
      </w:r>
      <w:r w:rsidR="00EF48C5" w:rsidRPr="00EF111E">
        <w:rPr>
          <w:bCs/>
          <w:i/>
          <w:lang w:val="vi-VN" w:eastAsia="zh-CN"/>
        </w:rPr>
        <w:t>, bổ sung một số điều của</w:t>
      </w:r>
      <w:r w:rsidRPr="00EF111E">
        <w:rPr>
          <w:bCs/>
          <w:i/>
          <w:lang w:val="vi-VN" w:eastAsia="zh-CN"/>
        </w:rPr>
        <w:t xml:space="preserve"> Nghị định số 28/2018/NĐ-CP ngày 01 tháng 3 năm 2018 của Chính phủ quy định chi tiết </w:t>
      </w:r>
      <w:r w:rsidR="00CF694A" w:rsidRPr="00EF111E">
        <w:rPr>
          <w:bCs/>
          <w:i/>
          <w:lang w:val="vi-VN" w:eastAsia="zh-CN"/>
        </w:rPr>
        <w:t>L</w:t>
      </w:r>
      <w:r w:rsidRPr="00EF111E">
        <w:rPr>
          <w:bCs/>
          <w:i/>
          <w:lang w:val="vi-VN" w:eastAsia="zh-CN"/>
        </w:rPr>
        <w:t xml:space="preserve">uật </w:t>
      </w:r>
      <w:r w:rsidR="00CF694A" w:rsidRPr="00EF111E">
        <w:rPr>
          <w:bCs/>
          <w:i/>
          <w:lang w:val="vi-VN" w:eastAsia="zh-CN"/>
        </w:rPr>
        <w:t>Q</w:t>
      </w:r>
      <w:r w:rsidRPr="00EF111E">
        <w:rPr>
          <w:bCs/>
          <w:i/>
          <w:lang w:val="vi-VN" w:eastAsia="zh-CN"/>
        </w:rPr>
        <w:t>uản lý ngoại thương về một số biện pháp phát triển ngoại thương;</w:t>
      </w:r>
    </w:p>
    <w:p w14:paraId="32FCB9AF" w14:textId="77777777" w:rsidR="005A5607" w:rsidRPr="00EF111E" w:rsidRDefault="005A5607" w:rsidP="00EF111E">
      <w:pPr>
        <w:shd w:val="clear" w:color="auto" w:fill="FFFFFF"/>
        <w:spacing w:before="60" w:after="60" w:line="240" w:lineRule="auto"/>
        <w:ind w:firstLine="567"/>
        <w:jc w:val="both"/>
        <w:rPr>
          <w:rFonts w:eastAsia="Times New Roman"/>
          <w:lang w:val="vi-VN"/>
        </w:rPr>
      </w:pPr>
      <w:r w:rsidRPr="00EF111E">
        <w:rPr>
          <w:rFonts w:eastAsia="Times New Roman"/>
          <w:i/>
          <w:iCs/>
          <w:lang w:val="vi-VN"/>
        </w:rPr>
        <w:t>Căn cứ Quyết định số 72/2010/QĐ-TTg ngày 15 tháng 11 năm 2010 của Thủ tướng Chính phủ về việc ban hành Quy chế xây dựng, quản lý và thực hiện Chương trình xúc tiến thương mại quốc gia;</w:t>
      </w:r>
    </w:p>
    <w:p w14:paraId="246C4711" w14:textId="77777777" w:rsidR="005A5607" w:rsidRPr="00EF111E" w:rsidRDefault="005A5607" w:rsidP="00EF111E">
      <w:pPr>
        <w:shd w:val="clear" w:color="auto" w:fill="FFFFFF"/>
        <w:spacing w:before="60" w:after="60" w:line="240" w:lineRule="auto"/>
        <w:ind w:firstLine="567"/>
        <w:jc w:val="both"/>
        <w:rPr>
          <w:rFonts w:eastAsia="Times New Roman"/>
          <w:lang w:val="vi-VN"/>
        </w:rPr>
      </w:pPr>
      <w:r w:rsidRPr="00EF111E">
        <w:rPr>
          <w:rFonts w:eastAsia="Times New Roman"/>
          <w:i/>
          <w:iCs/>
          <w:lang w:val="vi-VN"/>
        </w:rPr>
        <w:t>Căn cứ Quyết định số </w:t>
      </w:r>
      <w:hyperlink r:id="rId8" w:tgtFrame="_blank" w:tooltip="Quyết định 12/2019/QĐ-TTg" w:history="1">
        <w:r w:rsidRPr="00EF111E">
          <w:rPr>
            <w:rFonts w:eastAsia="Times New Roman"/>
            <w:i/>
            <w:iCs/>
            <w:lang w:val="vi-VN"/>
          </w:rPr>
          <w:t>12/2019/QĐ-TTg</w:t>
        </w:r>
      </w:hyperlink>
      <w:r w:rsidRPr="00EF111E">
        <w:rPr>
          <w:rFonts w:eastAsia="Times New Roman"/>
          <w:i/>
          <w:iCs/>
          <w:lang w:val="vi-VN"/>
        </w:rPr>
        <w:t> ngày 26 tháng 02 năm 2019 của Thủ tướng Chính phủ sửa đổi, bổ sung một số điều của Quy chế xây dựng, quản lý và thực hiện Chương trình xúc tiến thương mại quốc gia ban hành kèm theo Quyết định số 72/2010/QĐ-TTg ngày 15 tháng 11 năm 2010 của Thủ tướng Chính phủ;</w:t>
      </w:r>
    </w:p>
    <w:p w14:paraId="38723812" w14:textId="77777777" w:rsidR="005A5607" w:rsidRPr="00EF111E" w:rsidRDefault="005A5607" w:rsidP="00EF111E">
      <w:pPr>
        <w:shd w:val="clear" w:color="auto" w:fill="FFFFFF"/>
        <w:spacing w:before="60" w:after="60" w:line="240" w:lineRule="auto"/>
        <w:ind w:firstLine="567"/>
        <w:jc w:val="both"/>
        <w:rPr>
          <w:rFonts w:eastAsia="Times New Roman"/>
          <w:spacing w:val="-2"/>
          <w:lang w:val="vi-VN"/>
        </w:rPr>
      </w:pPr>
      <w:r w:rsidRPr="00EF111E">
        <w:rPr>
          <w:rFonts w:eastAsia="Times New Roman"/>
          <w:i/>
          <w:iCs/>
          <w:spacing w:val="-2"/>
          <w:lang w:val="vi-VN"/>
        </w:rPr>
        <w:lastRenderedPageBreak/>
        <w:t>Căn cứ Thông tư số </w:t>
      </w:r>
      <w:hyperlink r:id="rId9" w:tgtFrame="_blank" w:tooltip="Thông tư 11/2019/TT-BCT" w:history="1">
        <w:r w:rsidRPr="00EF111E">
          <w:rPr>
            <w:rFonts w:eastAsia="Times New Roman"/>
            <w:i/>
            <w:iCs/>
            <w:spacing w:val="-2"/>
            <w:lang w:val="vi-VN"/>
          </w:rPr>
          <w:t>11/2019/TT-BCT</w:t>
        </w:r>
      </w:hyperlink>
      <w:r w:rsidRPr="00EF111E">
        <w:rPr>
          <w:rFonts w:eastAsia="Times New Roman"/>
          <w:i/>
          <w:iCs/>
          <w:spacing w:val="-2"/>
          <w:lang w:val="vi-VN"/>
        </w:rPr>
        <w:t> ngày 30 tháng 7 năm 2019 của Bộ trưởng Bộ Công Thương hướng dẫn thực hiện hoạt động xúc tiến thương mại, phát triển ngoại thương thuộc Chương trình cấp quốc gia về xúc tiến thương mại;</w:t>
      </w:r>
    </w:p>
    <w:p w14:paraId="64FFE674" w14:textId="556752CD" w:rsidR="00345114" w:rsidRPr="00EF111E" w:rsidRDefault="00345114" w:rsidP="00EF111E">
      <w:pPr>
        <w:shd w:val="clear" w:color="auto" w:fill="FFFFFF"/>
        <w:spacing w:before="60" w:after="60" w:line="240" w:lineRule="auto"/>
        <w:ind w:firstLine="567"/>
        <w:jc w:val="both"/>
        <w:rPr>
          <w:i/>
          <w:shd w:val="clear" w:color="auto" w:fill="FFFFFF"/>
          <w:lang w:val="vi-VN"/>
        </w:rPr>
      </w:pPr>
      <w:r w:rsidRPr="00EF111E">
        <w:rPr>
          <w:i/>
          <w:lang w:val="vi-VN"/>
        </w:rPr>
        <w:t xml:space="preserve">Căn cứ </w:t>
      </w:r>
      <w:r w:rsidRPr="00EF111E">
        <w:rPr>
          <w:i/>
          <w:spacing w:val="-2"/>
          <w:lang w:val="pt-BR"/>
        </w:rPr>
        <w:t>Thông tư số 40/2020/TT-BCT ngày 30 tháng 11 năm 2020 của Bộ trưởng Bộ Công Thương</w:t>
      </w:r>
      <w:r w:rsidRPr="00EF111E">
        <w:rPr>
          <w:i/>
          <w:shd w:val="clear" w:color="auto" w:fill="FFFFFF"/>
          <w:lang w:val="vi-VN"/>
        </w:rPr>
        <w:t xml:space="preserve"> sửa đổi, bổ sung một số điều của Thông tư số </w:t>
      </w:r>
      <w:hyperlink r:id="rId10" w:tgtFrame="_blank" w:tooltip="Thông tư 11/2019/TT-BCT" w:history="1">
        <w:r w:rsidRPr="00EF111E">
          <w:rPr>
            <w:rStyle w:val="Hyperlink"/>
            <w:i/>
            <w:color w:val="auto"/>
            <w:u w:val="none"/>
            <w:shd w:val="clear" w:color="auto" w:fill="FFFFFF"/>
            <w:lang w:val="vi-VN"/>
          </w:rPr>
          <w:t>11/2019/TT-BCT</w:t>
        </w:r>
      </w:hyperlink>
      <w:r w:rsidRPr="00EF111E">
        <w:rPr>
          <w:i/>
          <w:shd w:val="clear" w:color="auto" w:fill="FFFFFF"/>
          <w:lang w:val="vi-VN"/>
        </w:rPr>
        <w:t> ngày 30 tháng 7 năm 2019 của Bộ trưởng Bộ Công Thương hướng dẫn thực hiện hoạt động xúc tiến thương mại phát triển ngoại thương thuộc Chương trình cấp quốc gia về xúc tiến thương mại</w:t>
      </w:r>
      <w:r w:rsidR="00A55EFA" w:rsidRPr="00EF111E">
        <w:rPr>
          <w:i/>
          <w:shd w:val="clear" w:color="auto" w:fill="FFFFFF"/>
          <w:lang w:val="vi-VN"/>
        </w:rPr>
        <w:t xml:space="preserve">; </w:t>
      </w:r>
    </w:p>
    <w:p w14:paraId="77E06CB8" w14:textId="1EB8BC3A" w:rsidR="008F0152" w:rsidRPr="00EF111E" w:rsidRDefault="008F0152" w:rsidP="00EF111E">
      <w:pPr>
        <w:shd w:val="clear" w:color="auto" w:fill="FFFFFF"/>
        <w:spacing w:before="60" w:after="60" w:line="240" w:lineRule="auto"/>
        <w:ind w:firstLine="567"/>
        <w:jc w:val="both"/>
        <w:rPr>
          <w:rFonts w:eastAsia="Times New Roman"/>
          <w:lang w:val="vi-VN"/>
        </w:rPr>
      </w:pPr>
      <w:r w:rsidRPr="00EF111E">
        <w:rPr>
          <w:rFonts w:eastAsia="Times New Roman"/>
          <w:i/>
          <w:iCs/>
          <w:lang w:val="vi-VN"/>
        </w:rPr>
        <w:t>Căn cứ Thông tư số </w:t>
      </w:r>
      <w:hyperlink r:id="rId11" w:tgtFrame="_blank" w:tooltip="Thông tư 171/2014/TT-BTC" w:history="1">
        <w:r w:rsidRPr="00EF111E">
          <w:rPr>
            <w:rFonts w:eastAsia="Times New Roman"/>
            <w:i/>
            <w:iCs/>
            <w:lang w:val="vi-VN"/>
          </w:rPr>
          <w:t>171/2014/TT-BTC</w:t>
        </w:r>
      </w:hyperlink>
      <w:r w:rsidRPr="00EF111E">
        <w:rPr>
          <w:rFonts w:eastAsia="Times New Roman"/>
          <w:i/>
          <w:iCs/>
          <w:lang w:val="vi-VN"/>
        </w:rPr>
        <w:t> ngày 14 tháng 11 năm 2014 của Bộ trưởng Bộ Tài chính hướng dẫn cơ chế tài chính hỗ trợ từ ngân sách nhà nước để thực hiện Chương trình Xúc tiến thương mại quốc gia;</w:t>
      </w:r>
    </w:p>
    <w:p w14:paraId="09D647A5" w14:textId="05FD29AB" w:rsidR="00345114" w:rsidRPr="00EF111E" w:rsidRDefault="00345114" w:rsidP="00EF111E">
      <w:pPr>
        <w:widowControl w:val="0"/>
        <w:shd w:val="clear" w:color="auto" w:fill="FFFFFF"/>
        <w:spacing w:before="60" w:after="60" w:line="240" w:lineRule="auto"/>
        <w:ind w:firstLine="720"/>
        <w:jc w:val="both"/>
        <w:rPr>
          <w:i/>
          <w:spacing w:val="-6"/>
          <w:lang w:val="vi-VN"/>
        </w:rPr>
      </w:pPr>
      <w:r w:rsidRPr="00EF111E">
        <w:rPr>
          <w:i/>
          <w:lang w:val="vi-VN"/>
        </w:rPr>
        <w:t>Căn cứ</w:t>
      </w:r>
      <w:r w:rsidRPr="00EF111E">
        <w:rPr>
          <w:i/>
          <w:spacing w:val="-6"/>
          <w:lang w:val="vi-VN" w:eastAsia="zh-CN"/>
        </w:rPr>
        <w:t xml:space="preserve"> Thông tư số 55/2023/TT-BTC ngày 15 tháng 8 năm 2023 của Bộ trưởng Bộ Tài chính Quy định Quản lý, sử dụng và quyết toán kinh phí sự nghiệp từ nguồn ngân sách nhà nước thực hiện các chương trình mục tiêu quốc gia giai đoạn 2021-2025</w:t>
      </w:r>
      <w:r w:rsidR="00A55EFA" w:rsidRPr="00EF111E">
        <w:rPr>
          <w:i/>
          <w:spacing w:val="-6"/>
          <w:lang w:val="vi-VN" w:eastAsia="zh-CN"/>
        </w:rPr>
        <w:t xml:space="preserve">; </w:t>
      </w:r>
    </w:p>
    <w:bookmarkEnd w:id="1"/>
    <w:p w14:paraId="202B2A49" w14:textId="795E6588" w:rsidR="0031735F" w:rsidRPr="00EF111E" w:rsidRDefault="0033128D" w:rsidP="00EF111E">
      <w:pPr>
        <w:spacing w:before="60" w:after="60" w:line="240" w:lineRule="auto"/>
        <w:ind w:firstLine="567"/>
        <w:jc w:val="both"/>
        <w:rPr>
          <w:i/>
          <w:lang w:val="vi-VN"/>
        </w:rPr>
      </w:pPr>
      <w:r w:rsidRPr="00EF111E">
        <w:rPr>
          <w:i/>
          <w:lang w:val="vi-VN"/>
        </w:rPr>
        <w:t xml:space="preserve">Theo đề nghị của </w:t>
      </w:r>
      <w:r w:rsidRPr="00EF111E">
        <w:rPr>
          <w:i/>
          <w:lang w:val="vi"/>
        </w:rPr>
        <w:t xml:space="preserve">Giám đốc </w:t>
      </w:r>
      <w:r w:rsidRPr="00EF111E">
        <w:rPr>
          <w:i/>
          <w:lang w:val="vi-VN"/>
        </w:rPr>
        <w:t>Sở Công Thương tại Tờ trình số</w:t>
      </w:r>
      <w:r w:rsidR="006F4C37" w:rsidRPr="00EF111E">
        <w:rPr>
          <w:i/>
          <w:lang w:val="vi-VN"/>
        </w:rPr>
        <w:t>:</w:t>
      </w:r>
      <w:r w:rsidR="008B3DFC">
        <w:rPr>
          <w:i/>
        </w:rPr>
        <w:t xml:space="preserve"> 629</w:t>
      </w:r>
      <w:r w:rsidRPr="00EF111E">
        <w:rPr>
          <w:i/>
          <w:lang w:val="vi-VN"/>
        </w:rPr>
        <w:t xml:space="preserve">/TTr-SCT ngày </w:t>
      </w:r>
      <w:r w:rsidR="008B3DFC">
        <w:rPr>
          <w:i/>
        </w:rPr>
        <w:t xml:space="preserve">08 </w:t>
      </w:r>
      <w:r w:rsidR="00144104" w:rsidRPr="00EF111E">
        <w:rPr>
          <w:i/>
          <w:lang w:val="vi"/>
        </w:rPr>
        <w:t>tháng</w:t>
      </w:r>
      <w:r w:rsidR="008B3DFC">
        <w:rPr>
          <w:i/>
        </w:rPr>
        <w:t xml:space="preserve"> 11 </w:t>
      </w:r>
      <w:r w:rsidR="00144104" w:rsidRPr="00EF111E">
        <w:rPr>
          <w:i/>
          <w:lang w:val="vi"/>
        </w:rPr>
        <w:t xml:space="preserve">năm </w:t>
      </w:r>
      <w:r w:rsidR="00DB47BC" w:rsidRPr="00EF111E">
        <w:rPr>
          <w:i/>
          <w:lang w:val="vi"/>
        </w:rPr>
        <w:t>2</w:t>
      </w:r>
      <w:r w:rsidR="0031735F" w:rsidRPr="00EF111E">
        <w:rPr>
          <w:i/>
          <w:lang w:val="vi-VN"/>
        </w:rPr>
        <w:t>02</w:t>
      </w:r>
      <w:r w:rsidR="002F7539" w:rsidRPr="00EF111E">
        <w:rPr>
          <w:i/>
          <w:lang w:val="vi-VN"/>
        </w:rPr>
        <w:t>4.</w:t>
      </w:r>
    </w:p>
    <w:p w14:paraId="6D09207A" w14:textId="724F34FB" w:rsidR="0031735F" w:rsidRPr="00EF111E" w:rsidRDefault="0033128D" w:rsidP="00EF111E">
      <w:pPr>
        <w:pStyle w:val="NormalWeb"/>
        <w:spacing w:before="60" w:beforeAutospacing="0" w:after="60" w:afterAutospacing="0"/>
        <w:jc w:val="center"/>
        <w:rPr>
          <w:b/>
          <w:sz w:val="28"/>
          <w:szCs w:val="28"/>
          <w:lang w:val="vi"/>
        </w:rPr>
      </w:pPr>
      <w:r w:rsidRPr="00EF111E">
        <w:rPr>
          <w:b/>
          <w:sz w:val="28"/>
          <w:szCs w:val="28"/>
          <w:lang w:val="vi"/>
        </w:rPr>
        <w:t>QUYẾT ĐỊNH:</w:t>
      </w:r>
    </w:p>
    <w:p w14:paraId="4196E5F1" w14:textId="1A217C84" w:rsidR="001E0930" w:rsidRPr="00EF111E" w:rsidRDefault="00D93FE3" w:rsidP="00EF111E">
      <w:pPr>
        <w:spacing w:before="60" w:after="60" w:line="240" w:lineRule="auto"/>
        <w:ind w:firstLine="720"/>
        <w:jc w:val="both"/>
        <w:rPr>
          <w:b/>
          <w:bCs/>
          <w:lang w:val="vi"/>
        </w:rPr>
      </w:pPr>
      <w:r w:rsidRPr="00EF111E">
        <w:rPr>
          <w:b/>
          <w:spacing w:val="-2"/>
          <w:lang w:val="vi"/>
        </w:rPr>
        <w:t>Điều 1.</w:t>
      </w:r>
      <w:r w:rsidRPr="00EF111E">
        <w:rPr>
          <w:b/>
          <w:bCs/>
          <w:spacing w:val="-2"/>
          <w:lang w:val="vi"/>
        </w:rPr>
        <w:t xml:space="preserve"> </w:t>
      </w:r>
      <w:r w:rsidR="00F1504E" w:rsidRPr="00EF111E">
        <w:rPr>
          <w:b/>
          <w:bCs/>
          <w:spacing w:val="-2"/>
          <w:lang w:val="vi"/>
        </w:rPr>
        <w:t xml:space="preserve">Sửa đổi, bổ sung một số điều của </w:t>
      </w:r>
      <w:r w:rsidR="00F749C1" w:rsidRPr="00EF111E">
        <w:rPr>
          <w:b/>
          <w:bCs/>
          <w:lang w:val="vi-VN"/>
        </w:rPr>
        <w:t>Quy chế</w:t>
      </w:r>
      <w:r w:rsidR="00D349BA" w:rsidRPr="00EF111E">
        <w:rPr>
          <w:b/>
          <w:bCs/>
          <w:lang w:val="vi-VN"/>
        </w:rPr>
        <w:t xml:space="preserve"> xây dựng, quản lý và thực hiện chương trình xúc tiến thương mại tỉnh Bình Phước ban hành kèm theo Quyết định </w:t>
      </w:r>
      <w:r w:rsidR="00C66D53" w:rsidRPr="00EF111E">
        <w:rPr>
          <w:b/>
          <w:bCs/>
          <w:lang w:val="vi-VN"/>
        </w:rPr>
        <w:t xml:space="preserve">số </w:t>
      </w:r>
      <w:r w:rsidR="00D349BA" w:rsidRPr="00EF111E">
        <w:rPr>
          <w:b/>
          <w:bCs/>
          <w:lang w:val="vi-VN"/>
        </w:rPr>
        <w:t>14/2021/QĐ-UBND ngày 13 tháng 5 năm 2021 của Ủy ban nhân dân tỉnh</w:t>
      </w:r>
      <w:r w:rsidR="00EF111E" w:rsidRPr="00EF111E">
        <w:rPr>
          <w:b/>
          <w:bCs/>
          <w:lang w:val="vi"/>
        </w:rPr>
        <w:t xml:space="preserve"> Bình Phước</w:t>
      </w:r>
    </w:p>
    <w:p w14:paraId="7FE3D393" w14:textId="67C2659A" w:rsidR="00600987" w:rsidRPr="00EF111E" w:rsidRDefault="00B444D0" w:rsidP="00EF111E">
      <w:pPr>
        <w:spacing w:before="60" w:after="60" w:line="240" w:lineRule="auto"/>
        <w:ind w:firstLine="720"/>
        <w:jc w:val="both"/>
        <w:rPr>
          <w:b/>
          <w:bCs/>
          <w:lang w:val="vi"/>
        </w:rPr>
      </w:pPr>
      <w:r w:rsidRPr="00EF111E">
        <w:rPr>
          <w:bCs/>
          <w:lang w:val="vi"/>
        </w:rPr>
        <w:t>1.</w:t>
      </w:r>
      <w:r w:rsidR="001E0930" w:rsidRPr="00EF111E">
        <w:rPr>
          <w:b/>
          <w:bCs/>
          <w:lang w:val="vi"/>
        </w:rPr>
        <w:t xml:space="preserve"> </w:t>
      </w:r>
      <w:r w:rsidR="00600987" w:rsidRPr="00EF111E">
        <w:rPr>
          <w:color w:val="000000"/>
          <w:shd w:val="clear" w:color="auto" w:fill="FFFFFF"/>
          <w:lang w:val="vi-VN"/>
        </w:rPr>
        <w:t>Sửa đổi, bổ sung</w:t>
      </w:r>
      <w:r w:rsidR="00600987" w:rsidRPr="00EF111E">
        <w:rPr>
          <w:color w:val="000000"/>
          <w:shd w:val="clear" w:color="auto" w:fill="FFFFFF"/>
          <w:lang w:val="vi"/>
        </w:rPr>
        <w:t xml:space="preserve"> </w:t>
      </w:r>
      <w:r w:rsidR="00600987" w:rsidRPr="00EF111E">
        <w:rPr>
          <w:bCs/>
          <w:spacing w:val="-2"/>
          <w:lang w:val="vi-VN"/>
        </w:rPr>
        <w:t>Đ</w:t>
      </w:r>
      <w:r w:rsidR="00600987" w:rsidRPr="00EF111E">
        <w:rPr>
          <w:bCs/>
          <w:spacing w:val="-2"/>
          <w:lang w:val="vi"/>
        </w:rPr>
        <w:t>iều 5 như sau</w:t>
      </w:r>
      <w:r w:rsidR="00600987" w:rsidRPr="00EF111E">
        <w:rPr>
          <w:bCs/>
          <w:spacing w:val="-2"/>
          <w:lang w:val="vi-VN"/>
        </w:rPr>
        <w:t xml:space="preserve">: </w:t>
      </w:r>
    </w:p>
    <w:p w14:paraId="6238A370" w14:textId="77777777" w:rsidR="00600987" w:rsidRPr="00EF111E" w:rsidRDefault="00600987" w:rsidP="00EF111E">
      <w:pPr>
        <w:pStyle w:val="NormalWeb"/>
        <w:shd w:val="clear" w:color="auto" w:fill="FFFFFF"/>
        <w:spacing w:before="60" w:beforeAutospacing="0" w:after="60" w:afterAutospacing="0"/>
        <w:ind w:firstLine="720"/>
        <w:jc w:val="both"/>
        <w:rPr>
          <w:bCs/>
          <w:spacing w:val="-2"/>
          <w:sz w:val="28"/>
          <w:szCs w:val="28"/>
          <w:lang w:val="vi"/>
        </w:rPr>
      </w:pPr>
      <w:r w:rsidRPr="00EF111E">
        <w:rPr>
          <w:bCs/>
          <w:spacing w:val="-2"/>
          <w:sz w:val="28"/>
          <w:szCs w:val="28"/>
          <w:lang w:val="vi"/>
        </w:rPr>
        <w:t>“</w:t>
      </w:r>
      <w:r w:rsidRPr="00EF111E">
        <w:rPr>
          <w:b/>
          <w:spacing w:val="-2"/>
          <w:sz w:val="28"/>
          <w:szCs w:val="28"/>
          <w:lang w:val="vi"/>
        </w:rPr>
        <w:t>Điều 5.</w:t>
      </w:r>
      <w:r w:rsidRPr="00EF111E">
        <w:rPr>
          <w:bCs/>
          <w:spacing w:val="-2"/>
          <w:sz w:val="28"/>
          <w:szCs w:val="28"/>
          <w:lang w:val="vi"/>
        </w:rPr>
        <w:t xml:space="preserve"> Đơn vị chủ trì thực hiện chương trình</w:t>
      </w:r>
    </w:p>
    <w:p w14:paraId="31E2F567" w14:textId="11B29D50" w:rsidR="00600987" w:rsidRPr="00EF111E" w:rsidRDefault="00600987" w:rsidP="00EF111E">
      <w:pPr>
        <w:pStyle w:val="NormalWeb"/>
        <w:shd w:val="clear" w:color="auto" w:fill="FFFFFF"/>
        <w:spacing w:before="60" w:beforeAutospacing="0" w:after="60" w:afterAutospacing="0"/>
        <w:ind w:firstLine="720"/>
        <w:jc w:val="both"/>
        <w:rPr>
          <w:color w:val="000000"/>
          <w:sz w:val="28"/>
          <w:szCs w:val="28"/>
          <w:lang w:val="vi-VN"/>
        </w:rPr>
      </w:pPr>
      <w:r w:rsidRPr="00EF111E">
        <w:rPr>
          <w:bCs/>
          <w:spacing w:val="-2"/>
          <w:sz w:val="28"/>
          <w:szCs w:val="28"/>
          <w:lang w:val="vi"/>
        </w:rPr>
        <w:t xml:space="preserve">1. </w:t>
      </w:r>
      <w:r w:rsidRPr="00EF111E">
        <w:rPr>
          <w:color w:val="000000"/>
          <w:sz w:val="28"/>
          <w:szCs w:val="28"/>
          <w:lang w:val="vi-VN"/>
        </w:rPr>
        <w:t>Đơn vị chủ trì thực hiện chương trình</w:t>
      </w:r>
      <w:r w:rsidRPr="00EF111E">
        <w:rPr>
          <w:color w:val="000000"/>
          <w:sz w:val="28"/>
          <w:szCs w:val="28"/>
          <w:lang w:val="vi"/>
        </w:rPr>
        <w:t xml:space="preserve">: </w:t>
      </w:r>
      <w:r w:rsidRPr="00EF111E">
        <w:rPr>
          <w:color w:val="000000"/>
          <w:sz w:val="28"/>
          <w:szCs w:val="28"/>
          <w:lang w:val="vi-VN"/>
        </w:rPr>
        <w:t xml:space="preserve">Tổ chức xúc tiến thương mại; các cơ quan, đơn vị, doanh nghiệp có chương trình, đề án xúc tiến thương mại đáp ứng các mục tiêu, yêu cầu, điều kiện quy định tại Quy chế này và được </w:t>
      </w:r>
      <w:r w:rsidRPr="00EF111E">
        <w:rPr>
          <w:color w:val="000000"/>
          <w:sz w:val="28"/>
          <w:szCs w:val="28"/>
          <w:lang w:val="vi"/>
        </w:rPr>
        <w:t>Ủy ban nhân dân</w:t>
      </w:r>
      <w:r w:rsidRPr="00EF111E">
        <w:rPr>
          <w:color w:val="000000"/>
          <w:sz w:val="28"/>
          <w:szCs w:val="28"/>
          <w:lang w:val="vi-VN"/>
        </w:rPr>
        <w:t xml:space="preserve"> tỉnh phê duyệt.</w:t>
      </w:r>
    </w:p>
    <w:p w14:paraId="6AED319A" w14:textId="77777777" w:rsidR="00600987" w:rsidRPr="00EF111E" w:rsidRDefault="00600987" w:rsidP="00EF111E">
      <w:pPr>
        <w:pStyle w:val="NormalWeb"/>
        <w:shd w:val="clear" w:color="auto" w:fill="FFFFFF"/>
        <w:spacing w:before="60" w:beforeAutospacing="0" w:after="60" w:afterAutospacing="0"/>
        <w:ind w:firstLine="720"/>
        <w:jc w:val="both"/>
        <w:rPr>
          <w:color w:val="000000"/>
          <w:sz w:val="28"/>
          <w:szCs w:val="28"/>
          <w:lang w:val="vi-VN"/>
        </w:rPr>
      </w:pPr>
      <w:r w:rsidRPr="00EF111E">
        <w:rPr>
          <w:color w:val="000000"/>
          <w:sz w:val="28"/>
          <w:szCs w:val="28"/>
          <w:lang w:val="vi-VN"/>
        </w:rPr>
        <w:t xml:space="preserve">2. Đơn vị chủ trì phải đáp ứng đủ các điều kiện sau: </w:t>
      </w:r>
    </w:p>
    <w:p w14:paraId="2894E233" w14:textId="77777777" w:rsidR="00600987" w:rsidRPr="00EF111E" w:rsidRDefault="00600987" w:rsidP="00EF111E">
      <w:pPr>
        <w:pStyle w:val="NormalWeb"/>
        <w:shd w:val="clear" w:color="auto" w:fill="FFFFFF"/>
        <w:spacing w:before="60" w:beforeAutospacing="0" w:after="60" w:afterAutospacing="0"/>
        <w:ind w:firstLine="720"/>
        <w:jc w:val="both"/>
        <w:rPr>
          <w:color w:val="000000"/>
          <w:sz w:val="28"/>
          <w:szCs w:val="28"/>
          <w:lang w:val="vi-VN"/>
        </w:rPr>
      </w:pPr>
      <w:r w:rsidRPr="00EF111E">
        <w:rPr>
          <w:color w:val="000000"/>
          <w:sz w:val="28"/>
          <w:szCs w:val="28"/>
          <w:lang w:val="vi-VN"/>
        </w:rPr>
        <w:t>a) Có tư cách pháp nhân;</w:t>
      </w:r>
    </w:p>
    <w:p w14:paraId="72B67EBD" w14:textId="77777777" w:rsidR="00600987" w:rsidRPr="00EF111E" w:rsidRDefault="00600987" w:rsidP="00EF111E">
      <w:pPr>
        <w:pStyle w:val="NormalWeb"/>
        <w:shd w:val="clear" w:color="auto" w:fill="FFFFFF"/>
        <w:spacing w:before="60" w:beforeAutospacing="0" w:after="60" w:afterAutospacing="0"/>
        <w:ind w:firstLine="720"/>
        <w:jc w:val="both"/>
        <w:rPr>
          <w:color w:val="000000"/>
          <w:sz w:val="28"/>
          <w:szCs w:val="28"/>
          <w:lang w:val="vi-VN"/>
        </w:rPr>
      </w:pPr>
      <w:r w:rsidRPr="00EF111E">
        <w:rPr>
          <w:color w:val="000000"/>
          <w:sz w:val="28"/>
          <w:szCs w:val="28"/>
          <w:lang w:val="vi-VN"/>
        </w:rPr>
        <w:t>b) Có khả năng huy động các nguồn lực để tổ chức thực hiện chương trình; có kinh nghiệm, năng lực trong việc tổ chức các hoạt động xúc tiến thương mại;</w:t>
      </w:r>
    </w:p>
    <w:p w14:paraId="67C01E12" w14:textId="237CEE37" w:rsidR="00600987" w:rsidRPr="00EF111E" w:rsidRDefault="00E71A11" w:rsidP="00EF111E">
      <w:pPr>
        <w:shd w:val="clear" w:color="auto" w:fill="FFFFFF"/>
        <w:spacing w:before="60" w:after="60" w:line="240" w:lineRule="auto"/>
        <w:ind w:firstLine="720"/>
        <w:jc w:val="both"/>
        <w:rPr>
          <w:rFonts w:eastAsia="Times New Roman"/>
          <w:color w:val="000000"/>
          <w:lang w:val="vi-VN" w:eastAsia="zh-CN"/>
        </w:rPr>
      </w:pPr>
      <w:r w:rsidRPr="00EF111E">
        <w:rPr>
          <w:rFonts w:eastAsia="Times New Roman"/>
          <w:color w:val="000000"/>
          <w:lang w:val="vi-VN" w:eastAsia="zh-CN"/>
        </w:rPr>
        <w:t>c</w:t>
      </w:r>
      <w:r w:rsidR="00600987" w:rsidRPr="00EF111E">
        <w:rPr>
          <w:rFonts w:eastAsia="Times New Roman"/>
          <w:color w:val="000000"/>
          <w:lang w:val="vi-VN" w:eastAsia="zh-CN"/>
        </w:rPr>
        <w:t>) Nắm rõ nhu cầu xúc tiến thương mại của doanh nghiệp;</w:t>
      </w:r>
    </w:p>
    <w:p w14:paraId="504E8017" w14:textId="6E02B14A" w:rsidR="00600987" w:rsidRPr="00EF111E" w:rsidRDefault="00E71A11" w:rsidP="00EF111E">
      <w:pPr>
        <w:pStyle w:val="NormalWeb"/>
        <w:shd w:val="clear" w:color="auto" w:fill="FFFFFF"/>
        <w:spacing w:before="60" w:beforeAutospacing="0" w:after="60" w:afterAutospacing="0"/>
        <w:ind w:firstLine="720"/>
        <w:jc w:val="both"/>
        <w:rPr>
          <w:color w:val="000000"/>
          <w:sz w:val="28"/>
          <w:szCs w:val="28"/>
          <w:lang w:val="vi-VN"/>
        </w:rPr>
      </w:pPr>
      <w:r w:rsidRPr="00EF111E">
        <w:rPr>
          <w:color w:val="000000"/>
          <w:sz w:val="28"/>
          <w:szCs w:val="28"/>
          <w:lang w:val="vi-VN"/>
        </w:rPr>
        <w:t>d</w:t>
      </w:r>
      <w:r w:rsidR="00600987" w:rsidRPr="00EF111E">
        <w:rPr>
          <w:color w:val="000000"/>
          <w:sz w:val="28"/>
          <w:szCs w:val="28"/>
          <w:lang w:val="vi-VN"/>
        </w:rPr>
        <w:t>) Thực hiện chương trình nhằm mang lại lợi ích cho cộng đồng doanh nghiệp, không nhằm mục đích lợi nhuận.</w:t>
      </w:r>
    </w:p>
    <w:p w14:paraId="6E94CD3E" w14:textId="77777777" w:rsidR="00600987" w:rsidRPr="00EF111E" w:rsidRDefault="00600987" w:rsidP="00EF111E">
      <w:pPr>
        <w:pStyle w:val="NormalWeb"/>
        <w:shd w:val="clear" w:color="auto" w:fill="FFFFFF"/>
        <w:spacing w:before="60" w:beforeAutospacing="0" w:after="60" w:afterAutospacing="0"/>
        <w:ind w:firstLine="720"/>
        <w:jc w:val="both"/>
        <w:rPr>
          <w:color w:val="000000"/>
          <w:sz w:val="28"/>
          <w:szCs w:val="28"/>
          <w:lang w:val="vi-VN"/>
        </w:rPr>
      </w:pPr>
      <w:r w:rsidRPr="00EF111E">
        <w:rPr>
          <w:color w:val="000000"/>
          <w:sz w:val="28"/>
          <w:szCs w:val="28"/>
          <w:lang w:val="vi-VN"/>
        </w:rPr>
        <w:t>3. Đơn vị chủ trì được tiếp nhận kinh phí hỗ trợ để triển khai thực hiện chương trình và có trách nhiệm quyết toán kinh phí hỗ trợ theo quy định hiện hành của nhà nước”.</w:t>
      </w:r>
    </w:p>
    <w:p w14:paraId="5D92AA06" w14:textId="6FBCEE03" w:rsidR="00600987" w:rsidRPr="00EF111E" w:rsidRDefault="00B7033E" w:rsidP="00EF111E">
      <w:pPr>
        <w:pStyle w:val="NormalWeb"/>
        <w:shd w:val="clear" w:color="auto" w:fill="FFFFFF"/>
        <w:spacing w:before="60" w:beforeAutospacing="0" w:after="60" w:afterAutospacing="0"/>
        <w:ind w:firstLine="720"/>
        <w:jc w:val="both"/>
        <w:rPr>
          <w:color w:val="000000"/>
          <w:sz w:val="28"/>
          <w:szCs w:val="28"/>
          <w:lang w:val="vi-VN"/>
        </w:rPr>
      </w:pPr>
      <w:r w:rsidRPr="00EF111E">
        <w:rPr>
          <w:color w:val="000000"/>
          <w:sz w:val="28"/>
          <w:szCs w:val="28"/>
          <w:lang w:val="vi-VN"/>
        </w:rPr>
        <w:t>2</w:t>
      </w:r>
      <w:r w:rsidR="00600987" w:rsidRPr="00EF111E">
        <w:rPr>
          <w:color w:val="000000"/>
          <w:sz w:val="28"/>
          <w:szCs w:val="28"/>
          <w:lang w:val="vi-VN"/>
        </w:rPr>
        <w:t xml:space="preserve">. </w:t>
      </w:r>
      <w:r w:rsidRPr="00EF111E">
        <w:rPr>
          <w:color w:val="000000"/>
          <w:sz w:val="28"/>
          <w:szCs w:val="28"/>
          <w:shd w:val="clear" w:color="auto" w:fill="FFFFFF"/>
          <w:lang w:val="vi-VN"/>
        </w:rPr>
        <w:t xml:space="preserve">Sửa đổi, bổ sung </w:t>
      </w:r>
      <w:r w:rsidR="00600987" w:rsidRPr="00EF111E">
        <w:rPr>
          <w:color w:val="000000"/>
          <w:sz w:val="28"/>
          <w:szCs w:val="28"/>
          <w:lang w:val="vi-VN"/>
        </w:rPr>
        <w:t xml:space="preserve">Điều 6 như sau: </w:t>
      </w:r>
    </w:p>
    <w:p w14:paraId="5E919499" w14:textId="6884D8F8" w:rsidR="00600987" w:rsidRPr="00EF111E" w:rsidRDefault="00600987" w:rsidP="00EF111E">
      <w:pPr>
        <w:pStyle w:val="NormalWeb"/>
        <w:shd w:val="clear" w:color="auto" w:fill="FFFFFF"/>
        <w:spacing w:before="60" w:beforeAutospacing="0" w:after="60" w:afterAutospacing="0"/>
        <w:ind w:firstLine="720"/>
        <w:jc w:val="both"/>
        <w:rPr>
          <w:color w:val="000000"/>
          <w:sz w:val="28"/>
          <w:szCs w:val="28"/>
          <w:lang w:val="vi-VN"/>
        </w:rPr>
      </w:pPr>
      <w:r w:rsidRPr="00EF111E">
        <w:rPr>
          <w:color w:val="000000"/>
          <w:sz w:val="28"/>
          <w:szCs w:val="28"/>
          <w:lang w:val="vi-VN"/>
        </w:rPr>
        <w:t>“</w:t>
      </w:r>
      <w:r w:rsidRPr="00EF111E">
        <w:rPr>
          <w:b/>
          <w:bCs/>
          <w:color w:val="000000"/>
          <w:sz w:val="28"/>
          <w:szCs w:val="28"/>
          <w:lang w:val="vi-VN"/>
        </w:rPr>
        <w:t>Điều 6.</w:t>
      </w:r>
      <w:r w:rsidRPr="00EF111E">
        <w:rPr>
          <w:color w:val="000000"/>
          <w:sz w:val="28"/>
          <w:szCs w:val="28"/>
          <w:lang w:val="vi-VN"/>
        </w:rPr>
        <w:t xml:space="preserve"> Đơn vị tham gia </w:t>
      </w:r>
      <w:r w:rsidR="00CB00EF" w:rsidRPr="00EF111E">
        <w:rPr>
          <w:color w:val="000000"/>
          <w:sz w:val="28"/>
          <w:szCs w:val="28"/>
          <w:lang w:val="vi-VN"/>
        </w:rPr>
        <w:t xml:space="preserve">thực hiện </w:t>
      </w:r>
      <w:r w:rsidRPr="00EF111E">
        <w:rPr>
          <w:color w:val="000000"/>
          <w:sz w:val="28"/>
          <w:szCs w:val="28"/>
          <w:lang w:val="vi-VN"/>
        </w:rPr>
        <w:t xml:space="preserve">chương trình </w:t>
      </w:r>
    </w:p>
    <w:p w14:paraId="11FEAB6B" w14:textId="2F554FC5" w:rsidR="00600987" w:rsidRPr="00EF111E" w:rsidRDefault="00600987" w:rsidP="00EF111E">
      <w:pPr>
        <w:pStyle w:val="NormalWeb"/>
        <w:shd w:val="clear" w:color="auto" w:fill="FFFFFF"/>
        <w:spacing w:before="60" w:beforeAutospacing="0" w:after="60" w:afterAutospacing="0"/>
        <w:ind w:firstLine="720"/>
        <w:jc w:val="both"/>
        <w:rPr>
          <w:color w:val="000000"/>
          <w:sz w:val="28"/>
          <w:szCs w:val="28"/>
          <w:shd w:val="clear" w:color="auto" w:fill="FFFFFF"/>
          <w:lang w:val="vi-VN"/>
        </w:rPr>
      </w:pPr>
      <w:r w:rsidRPr="00EF111E">
        <w:rPr>
          <w:color w:val="000000"/>
          <w:sz w:val="28"/>
          <w:szCs w:val="28"/>
          <w:shd w:val="clear" w:color="auto" w:fill="FFFFFF"/>
          <w:lang w:val="vi-VN"/>
        </w:rPr>
        <w:lastRenderedPageBreak/>
        <w:t xml:space="preserve">Đơn vị tham gia thực hiện chương trình là các doanh nghiệp thuộc mọi thành phần kinh tế, các hợp tác xã, các tổ chức xúc tiến thương mại Việt Nam được thành lập trên địa bàn tỉnh Bình Phước. Đơn vị tham gia thực hiện chương trình được hỗ trợ nguồn kinh phí thực hiện theo quy định tại Quy chế này và chịu trách nhiệm nâng cao hiệu quả đề án xúc tiến thương mại mà đơn vị tham gia”. </w:t>
      </w:r>
    </w:p>
    <w:p w14:paraId="08D5141F" w14:textId="3B4E5F83" w:rsidR="00510E53" w:rsidRPr="00EF111E" w:rsidRDefault="00510E53" w:rsidP="00EF111E">
      <w:pPr>
        <w:spacing w:before="60" w:after="60" w:line="240" w:lineRule="auto"/>
        <w:ind w:firstLine="720"/>
        <w:jc w:val="both"/>
        <w:rPr>
          <w:color w:val="000000"/>
          <w:shd w:val="clear" w:color="auto" w:fill="FFFFFF"/>
          <w:lang w:val="vi-VN"/>
        </w:rPr>
      </w:pPr>
      <w:r w:rsidRPr="00EF111E">
        <w:rPr>
          <w:lang w:val="vi-VN"/>
        </w:rPr>
        <w:t>3</w:t>
      </w:r>
      <w:r w:rsidRPr="00EF111E">
        <w:rPr>
          <w:lang w:val="pt-BR"/>
        </w:rPr>
        <w:t xml:space="preserve">. </w:t>
      </w:r>
      <w:r w:rsidRPr="00EF111E">
        <w:rPr>
          <w:color w:val="000000"/>
          <w:shd w:val="clear" w:color="auto" w:fill="FFFFFF"/>
          <w:lang w:val="vi-VN"/>
        </w:rPr>
        <w:t>Sửa đổi</w:t>
      </w:r>
      <w:r w:rsidR="00357660" w:rsidRPr="00EF111E">
        <w:rPr>
          <w:color w:val="000000"/>
          <w:shd w:val="clear" w:color="auto" w:fill="FFFFFF"/>
          <w:lang w:val="vi-VN"/>
        </w:rPr>
        <w:t>, bổ sung</w:t>
      </w:r>
      <w:r w:rsidR="001119EF" w:rsidRPr="00EF111E">
        <w:rPr>
          <w:color w:val="000000"/>
          <w:shd w:val="clear" w:color="auto" w:fill="FFFFFF"/>
          <w:lang w:val="vi-VN"/>
        </w:rPr>
        <w:t xml:space="preserve"> </w:t>
      </w:r>
      <w:r w:rsidR="00753326" w:rsidRPr="00EF111E">
        <w:rPr>
          <w:lang w:val="vi-VN"/>
        </w:rPr>
        <w:t xml:space="preserve">Điều 13 </w:t>
      </w:r>
      <w:r w:rsidRPr="00EF111E">
        <w:rPr>
          <w:lang w:val="vi-VN"/>
        </w:rPr>
        <w:t xml:space="preserve">như sau: </w:t>
      </w:r>
      <w:r w:rsidRPr="00EF111E">
        <w:rPr>
          <w:color w:val="000000"/>
          <w:shd w:val="clear" w:color="auto" w:fill="FFFFFF"/>
          <w:lang w:val="vi-VN"/>
        </w:rPr>
        <w:t xml:space="preserve"> </w:t>
      </w:r>
    </w:p>
    <w:p w14:paraId="05F34B15" w14:textId="34A91F53" w:rsidR="00510E53" w:rsidRPr="00EF111E" w:rsidRDefault="00510E53" w:rsidP="00EF111E">
      <w:pPr>
        <w:spacing w:before="60" w:after="60" w:line="240" w:lineRule="auto"/>
        <w:ind w:firstLine="720"/>
        <w:jc w:val="both"/>
        <w:rPr>
          <w:lang w:val="pt-BR"/>
        </w:rPr>
      </w:pPr>
      <w:r w:rsidRPr="00EF111E">
        <w:rPr>
          <w:lang w:val="pt-BR"/>
        </w:rPr>
        <w:t>“</w:t>
      </w:r>
      <w:r w:rsidRPr="00EF111E">
        <w:rPr>
          <w:b/>
          <w:bCs/>
          <w:lang w:val="pt-BR"/>
        </w:rPr>
        <w:t>Điều 13.</w:t>
      </w:r>
      <w:r w:rsidRPr="00EF111E">
        <w:rPr>
          <w:lang w:val="pt-BR"/>
        </w:rPr>
        <w:t xml:space="preserve"> Quy trình xây dựng đề án thực hiện Chương trình xúc tiến thương mại.</w:t>
      </w:r>
      <w:r w:rsidR="001119EF" w:rsidRPr="00EF111E">
        <w:rPr>
          <w:lang w:val="pt-BR"/>
        </w:rPr>
        <w:t>”</w:t>
      </w:r>
    </w:p>
    <w:p w14:paraId="619429A3" w14:textId="77777777" w:rsidR="00510E53" w:rsidRPr="00EF111E" w:rsidRDefault="00510E53" w:rsidP="00EF111E">
      <w:pPr>
        <w:spacing w:before="60" w:after="60" w:line="240" w:lineRule="auto"/>
        <w:ind w:firstLine="720"/>
        <w:jc w:val="both"/>
        <w:rPr>
          <w:lang w:val="vi-VN"/>
        </w:rPr>
      </w:pPr>
      <w:r w:rsidRPr="00EF111E">
        <w:rPr>
          <w:lang w:val="pt-BR"/>
        </w:rPr>
        <w:t xml:space="preserve">1. Các đơn vị chủ trì xây dựng đề án, kế hoạch thực hiện chương trình xúc tiến thương mại hàng năm của đơn vị </w:t>
      </w:r>
      <w:r w:rsidRPr="00EF111E">
        <w:rPr>
          <w:i/>
          <w:iCs/>
          <w:lang w:val="pt-BR"/>
        </w:rPr>
        <w:t>(02 bộ)</w:t>
      </w:r>
      <w:r w:rsidRPr="00EF111E">
        <w:rPr>
          <w:lang w:val="pt-BR"/>
        </w:rPr>
        <w:t xml:space="preserve"> gửi về Sở Công Thương trước ngày 30 tháng 6 của năm trước năm kế hoạch. </w:t>
      </w:r>
      <w:r w:rsidRPr="00EF111E">
        <w:rPr>
          <w:lang w:val="vi-VN"/>
        </w:rPr>
        <w:t xml:space="preserve">Hội đồng thẩm định tổ chức thẩm định các Đề án xúc tiến thương mại do các đơn vị Chủ trì đề xuất và nội dung được </w:t>
      </w:r>
      <w:r w:rsidRPr="00EF111E">
        <w:rPr>
          <w:lang w:val="pt-BR"/>
        </w:rPr>
        <w:t>h</w:t>
      </w:r>
      <w:r w:rsidRPr="00EF111E">
        <w:rPr>
          <w:lang w:val="vi-VN"/>
        </w:rPr>
        <w:t xml:space="preserve">ỗ trợ tại Quy chế này, tổng hợp thành Chương trình xúc tiến thương mại tỉnh của năm kế hoạch trình Ủy ban nhân dân tỉnh phê duyệt Danh mục </w:t>
      </w:r>
      <w:r w:rsidRPr="00EF111E">
        <w:rPr>
          <w:lang w:val="pt-BR"/>
        </w:rPr>
        <w:t>c</w:t>
      </w:r>
      <w:r w:rsidRPr="00EF111E">
        <w:rPr>
          <w:lang w:val="vi-VN"/>
        </w:rPr>
        <w:t>hương trình xúc tiến thương mại năm kế hoạch.</w:t>
      </w:r>
    </w:p>
    <w:p w14:paraId="0C0E3739" w14:textId="77777777" w:rsidR="00510E53" w:rsidRPr="00EF111E" w:rsidRDefault="00510E53" w:rsidP="00EF111E">
      <w:pPr>
        <w:spacing w:before="60" w:after="60" w:line="240" w:lineRule="auto"/>
        <w:ind w:firstLine="720"/>
        <w:jc w:val="both"/>
        <w:rPr>
          <w:lang w:val="vi-VN"/>
        </w:rPr>
      </w:pPr>
      <w:r w:rsidRPr="00EF111E">
        <w:rPr>
          <w:lang w:val="vi-VN"/>
        </w:rPr>
        <w:t>2. Căn cứ danh mục chương trình xúc tiến thương mại của năm kế hoạch được Ủy ban nhân dân tỉnh Bình Phước phê duyệt, Sở Tài chính có nhiệm vụ thẩm định dự toán và tham mưu Ủy ban nhân dân tỉnh cấp kinh phí cho các Đề án theo Danh mục đã được Ủy ban nhân dân tỉnh phê duyệt. Đồng thời thông báo kết quả thẩm định cho Hội đồng thẩm định sau khi có kết quả thẩm định Chương trình xúc tiến thương mại tỉnh của năm kế hoạch và dự toán.</w:t>
      </w:r>
    </w:p>
    <w:p w14:paraId="25B27FEE" w14:textId="5B4EC7A0" w:rsidR="0015748D" w:rsidRPr="00EF111E" w:rsidRDefault="00510E53" w:rsidP="00EF111E">
      <w:pPr>
        <w:spacing w:before="60" w:after="60" w:line="240" w:lineRule="auto"/>
        <w:ind w:firstLine="720"/>
        <w:jc w:val="both"/>
        <w:rPr>
          <w:lang w:val="vi-VN"/>
        </w:rPr>
      </w:pPr>
      <w:r w:rsidRPr="00EF111E">
        <w:rPr>
          <w:lang w:val="pt-BR"/>
        </w:rPr>
        <w:t xml:space="preserve">3. Hồ sơ </w:t>
      </w:r>
      <w:r w:rsidR="0015748D" w:rsidRPr="00EF111E">
        <w:rPr>
          <w:lang w:val="vi-VN"/>
        </w:rPr>
        <w:t>đề xuất đề án thực hiện</w:t>
      </w:r>
      <w:r w:rsidR="0015748D" w:rsidRPr="00EF111E">
        <w:rPr>
          <w:lang w:val="pt-BR"/>
        </w:rPr>
        <w:t xml:space="preserve"> </w:t>
      </w:r>
      <w:r w:rsidR="0015748D" w:rsidRPr="00EF111E">
        <w:rPr>
          <w:lang w:val="vi-VN"/>
        </w:rPr>
        <w:t>Chương trình xúc tiến thương mại của đơn vị chủ trì được thực hiện theo khoản 2, Điều 10 của Nghị định số</w:t>
      </w:r>
      <w:r w:rsidR="00BE6044">
        <w:rPr>
          <w:lang w:val="vi-VN"/>
        </w:rPr>
        <w:t xml:space="preserve"> 28/2018/NĐ-CP ngày 01 tháng </w:t>
      </w:r>
      <w:r w:rsidR="0015748D" w:rsidRPr="00EF111E">
        <w:rPr>
          <w:lang w:val="vi-VN"/>
        </w:rPr>
        <w:t>3 năm 2018 của Ch</w:t>
      </w:r>
      <w:r w:rsidR="001E5293">
        <w:rPr>
          <w:lang w:val="vi-VN"/>
        </w:rPr>
        <w:t>í</w:t>
      </w:r>
      <w:r w:rsidR="0015748D" w:rsidRPr="00EF111E">
        <w:rPr>
          <w:lang w:val="vi-VN"/>
        </w:rPr>
        <w:t xml:space="preserve">nh phủ. </w:t>
      </w:r>
    </w:p>
    <w:p w14:paraId="11DDF707" w14:textId="2A7DF48D" w:rsidR="00510E53" w:rsidRPr="00EF111E" w:rsidRDefault="00510E53" w:rsidP="00EF111E">
      <w:pPr>
        <w:spacing w:before="60" w:after="60" w:line="240" w:lineRule="auto"/>
        <w:ind w:firstLine="720"/>
        <w:jc w:val="both"/>
        <w:rPr>
          <w:lang w:val="pt-BR"/>
        </w:rPr>
      </w:pPr>
      <w:r w:rsidRPr="00EF111E">
        <w:rPr>
          <w:lang w:val="pt-BR"/>
        </w:rPr>
        <w:t>4. Các đề án xúc tiến thương mại phải đáp ứng các yêu cầu sau:</w:t>
      </w:r>
    </w:p>
    <w:p w14:paraId="0B5A8CA1" w14:textId="77777777" w:rsidR="00510E53" w:rsidRPr="00EF111E" w:rsidRDefault="00510E53" w:rsidP="00EF111E">
      <w:pPr>
        <w:spacing w:before="60" w:after="60" w:line="240" w:lineRule="auto"/>
        <w:ind w:firstLine="720"/>
        <w:jc w:val="both"/>
      </w:pPr>
      <w:r w:rsidRPr="00EF111E">
        <w:t>a) Phù hợp với nhu cầu thực tế.</w:t>
      </w:r>
    </w:p>
    <w:p w14:paraId="2BD1C219" w14:textId="77777777" w:rsidR="00510E53" w:rsidRPr="00EF111E" w:rsidRDefault="00510E53" w:rsidP="00EF111E">
      <w:pPr>
        <w:spacing w:before="60" w:after="60" w:line="240" w:lineRule="auto"/>
        <w:ind w:firstLine="720"/>
        <w:jc w:val="both"/>
      </w:pPr>
      <w:r w:rsidRPr="00EF111E">
        <w:t>b) Phù hợp với định hướng phát triển thương mại của tỉnh.</w:t>
      </w:r>
    </w:p>
    <w:p w14:paraId="2910091B" w14:textId="77777777" w:rsidR="00510E53" w:rsidRPr="00EF111E" w:rsidRDefault="00510E53" w:rsidP="00EF111E">
      <w:pPr>
        <w:spacing w:before="60" w:after="60" w:line="240" w:lineRule="auto"/>
        <w:ind w:firstLine="720"/>
        <w:jc w:val="both"/>
        <w:rPr>
          <w:spacing w:val="-4"/>
        </w:rPr>
      </w:pPr>
      <w:r w:rsidRPr="00EF111E">
        <w:rPr>
          <w:spacing w:val="-4"/>
        </w:rPr>
        <w:t>c) Phù hợp với nội dung chương trình quy định tại Chương II Quy chế này.</w:t>
      </w:r>
    </w:p>
    <w:p w14:paraId="673A2A59" w14:textId="77777777" w:rsidR="00510E53" w:rsidRPr="00EF111E" w:rsidRDefault="00510E53" w:rsidP="00EF111E">
      <w:pPr>
        <w:spacing w:before="60" w:after="60" w:line="240" w:lineRule="auto"/>
        <w:ind w:firstLine="720"/>
        <w:jc w:val="both"/>
      </w:pPr>
      <w:r w:rsidRPr="00EF111E">
        <w:t>d) Đảm bảo tính khả thi về phương thức triển khai; thời gian, tiến độ triển khai; nguồn nhân lực, tài chính và cơ sở vật chất kỹ thuật.</w:t>
      </w:r>
    </w:p>
    <w:p w14:paraId="3D77747F" w14:textId="77777777" w:rsidR="00510E53" w:rsidRPr="00EF111E" w:rsidRDefault="00510E53" w:rsidP="00EF111E">
      <w:pPr>
        <w:spacing w:before="60" w:after="60" w:line="240" w:lineRule="auto"/>
        <w:ind w:firstLine="720"/>
        <w:jc w:val="both"/>
      </w:pPr>
      <w:r w:rsidRPr="00EF111E">
        <w:t>đ) Đối với các đề án mà quá trình thực hiện kéo dài qua 2 năm tài chính, đơn vị chủ trì phải xây dựng nội dung và kinh phí cho từng năm.</w:t>
      </w:r>
    </w:p>
    <w:p w14:paraId="2ABCEFA6" w14:textId="77777777" w:rsidR="00510E53" w:rsidRPr="00EF111E" w:rsidRDefault="00510E53" w:rsidP="00EF111E">
      <w:pPr>
        <w:spacing w:before="60" w:after="60" w:line="240" w:lineRule="auto"/>
        <w:ind w:firstLine="720"/>
        <w:jc w:val="both"/>
      </w:pPr>
      <w:r w:rsidRPr="00EF111E">
        <w:t>5. Đơn vị chủ trì được lựa chọn một trong các cách thức gửi hồ sơ sau:</w:t>
      </w:r>
    </w:p>
    <w:p w14:paraId="2D428008" w14:textId="77777777" w:rsidR="00510E53" w:rsidRPr="00EF111E" w:rsidRDefault="00510E53" w:rsidP="00EF111E">
      <w:pPr>
        <w:spacing w:before="60" w:after="60" w:line="240" w:lineRule="auto"/>
        <w:ind w:firstLine="720"/>
        <w:jc w:val="both"/>
      </w:pPr>
      <w:r w:rsidRPr="00EF111E">
        <w:t>a) Gửi qua đường bưu điện.</w:t>
      </w:r>
    </w:p>
    <w:p w14:paraId="6B368CBE" w14:textId="77777777" w:rsidR="00510E53" w:rsidRPr="00EF111E" w:rsidRDefault="00510E53" w:rsidP="00EF111E">
      <w:pPr>
        <w:spacing w:before="60" w:after="60" w:line="240" w:lineRule="auto"/>
        <w:ind w:firstLine="720"/>
        <w:jc w:val="both"/>
      </w:pPr>
      <w:r w:rsidRPr="00EF111E">
        <w:t>b) Nộp trực tiếp tại Sở Công Thương.</w:t>
      </w:r>
    </w:p>
    <w:p w14:paraId="4C53605E" w14:textId="01D14DAB" w:rsidR="00510E53" w:rsidRPr="00EF111E" w:rsidRDefault="00510E53" w:rsidP="00EF111E">
      <w:pPr>
        <w:spacing w:before="60" w:after="60" w:line="240" w:lineRule="auto"/>
        <w:ind w:firstLine="720"/>
        <w:jc w:val="both"/>
        <w:rPr>
          <w:spacing w:val="-4"/>
          <w:lang w:val="vi-VN"/>
        </w:rPr>
      </w:pPr>
      <w:r w:rsidRPr="00EF111E">
        <w:rPr>
          <w:spacing w:val="-4"/>
        </w:rPr>
        <w:t>c) Chuyển qua hệ thống quản lý văn bản và điều hành của Sở Công Thương</w:t>
      </w:r>
      <w:r w:rsidRPr="00EF111E">
        <w:rPr>
          <w:spacing w:val="-4"/>
          <w:lang w:val="vi-VN"/>
        </w:rPr>
        <w:t xml:space="preserve">”. </w:t>
      </w:r>
    </w:p>
    <w:p w14:paraId="6E031301" w14:textId="0CCA6CDF" w:rsidR="00A107E5" w:rsidRPr="00EF111E" w:rsidRDefault="00510E53" w:rsidP="00EF111E">
      <w:pPr>
        <w:spacing w:before="60" w:after="60" w:line="240" w:lineRule="auto"/>
        <w:ind w:firstLine="720"/>
        <w:jc w:val="both"/>
        <w:rPr>
          <w:color w:val="000000"/>
          <w:shd w:val="clear" w:color="auto" w:fill="FFFFFF"/>
          <w:lang w:val="vi-VN"/>
        </w:rPr>
      </w:pPr>
      <w:r w:rsidRPr="00EF111E">
        <w:rPr>
          <w:bCs/>
          <w:lang w:val="vi-VN"/>
        </w:rPr>
        <w:t>4</w:t>
      </w:r>
      <w:r w:rsidR="00600987" w:rsidRPr="00EF111E">
        <w:rPr>
          <w:bCs/>
          <w:lang w:val="vi-VN"/>
        </w:rPr>
        <w:t>.</w:t>
      </w:r>
      <w:r w:rsidR="00A107E5" w:rsidRPr="00EF111E">
        <w:rPr>
          <w:color w:val="000000"/>
          <w:shd w:val="clear" w:color="auto" w:fill="FFFFFF"/>
          <w:lang w:val="vi-VN"/>
        </w:rPr>
        <w:t xml:space="preserve"> </w:t>
      </w:r>
      <w:r w:rsidR="005B3CF7" w:rsidRPr="00EF111E">
        <w:rPr>
          <w:color w:val="000000"/>
          <w:shd w:val="clear" w:color="auto" w:fill="FFFFFF"/>
          <w:lang w:val="vi-VN"/>
        </w:rPr>
        <w:t>Sửa đổi, b</w:t>
      </w:r>
      <w:r w:rsidR="00A107E5" w:rsidRPr="00EF111E">
        <w:rPr>
          <w:color w:val="000000"/>
          <w:shd w:val="clear" w:color="auto" w:fill="FFFFFF"/>
          <w:lang w:val="vi-VN"/>
        </w:rPr>
        <w:t xml:space="preserve">ổ sung </w:t>
      </w:r>
      <w:r w:rsidR="005B3CF7" w:rsidRPr="00EF111E">
        <w:rPr>
          <w:lang w:val="vi-VN"/>
        </w:rPr>
        <w:t xml:space="preserve">Điều 17 như sau: </w:t>
      </w:r>
      <w:r w:rsidR="00A107E5" w:rsidRPr="00EF111E">
        <w:rPr>
          <w:color w:val="000000"/>
          <w:shd w:val="clear" w:color="auto" w:fill="FFFFFF"/>
          <w:lang w:val="vi-VN"/>
        </w:rPr>
        <w:t xml:space="preserve"> </w:t>
      </w:r>
    </w:p>
    <w:p w14:paraId="3CF9D428" w14:textId="77777777" w:rsidR="005B3CF7" w:rsidRPr="00EF111E" w:rsidRDefault="00A107E5" w:rsidP="00EF111E">
      <w:pPr>
        <w:spacing w:before="60" w:after="60" w:line="240" w:lineRule="auto"/>
        <w:ind w:firstLine="720"/>
        <w:jc w:val="both"/>
        <w:rPr>
          <w:lang w:val="vi-VN"/>
        </w:rPr>
      </w:pPr>
      <w:r w:rsidRPr="00EF111E">
        <w:rPr>
          <w:lang w:val="vi-VN"/>
        </w:rPr>
        <w:t>“</w:t>
      </w:r>
      <w:r w:rsidR="005B3CF7" w:rsidRPr="00EF111E">
        <w:rPr>
          <w:b/>
          <w:bCs/>
          <w:lang w:val="vi-VN"/>
        </w:rPr>
        <w:t>Điều 17.</w:t>
      </w:r>
      <w:r w:rsidR="005B3CF7" w:rsidRPr="00EF111E">
        <w:rPr>
          <w:lang w:val="vi-VN"/>
        </w:rPr>
        <w:t xml:space="preserve"> Trách nhiệm Sở Tài chính. </w:t>
      </w:r>
    </w:p>
    <w:p w14:paraId="39E2E35E" w14:textId="3BE4FF04" w:rsidR="005B3CF7" w:rsidRPr="00EF111E" w:rsidRDefault="005B3CF7" w:rsidP="00EF111E">
      <w:pPr>
        <w:spacing w:before="60" w:after="60" w:line="240" w:lineRule="auto"/>
        <w:ind w:firstLine="720"/>
        <w:jc w:val="both"/>
        <w:rPr>
          <w:color w:val="000000"/>
          <w:spacing w:val="4"/>
          <w:lang w:val="vi-VN"/>
        </w:rPr>
      </w:pPr>
      <w:r w:rsidRPr="00EF111E">
        <w:rPr>
          <w:color w:val="000000"/>
          <w:spacing w:val="4"/>
          <w:lang w:val="vi-VN"/>
        </w:rPr>
        <w:lastRenderedPageBreak/>
        <w:t>1. Hàng năm, tùy thuộc vào khả năng thu ngân sách, Sở Tài chính tham mưu</w:t>
      </w:r>
      <w:r w:rsidRPr="00EF111E">
        <w:rPr>
          <w:rStyle w:val="apple-converted-space"/>
          <w:color w:val="000000"/>
          <w:spacing w:val="4"/>
          <w:lang w:val="vi-VN"/>
        </w:rPr>
        <w:t> </w:t>
      </w:r>
      <w:r w:rsidRPr="00EF111E">
        <w:rPr>
          <w:color w:val="000000"/>
          <w:spacing w:val="4"/>
          <w:shd w:val="clear" w:color="auto" w:fill="FFFFFF"/>
          <w:lang w:val="vi-VN"/>
        </w:rPr>
        <w:t>Ủ</w:t>
      </w:r>
      <w:r w:rsidRPr="00EF111E">
        <w:rPr>
          <w:color w:val="000000"/>
          <w:spacing w:val="4"/>
          <w:lang w:val="vi-VN"/>
        </w:rPr>
        <w:t>y ban nhân dân tỉnh b</w:t>
      </w:r>
      <w:r w:rsidRPr="00EF111E">
        <w:rPr>
          <w:color w:val="000000"/>
          <w:spacing w:val="4"/>
          <w:shd w:val="clear" w:color="auto" w:fill="FFFFFF"/>
          <w:lang w:val="vi-VN"/>
        </w:rPr>
        <w:t>ố</w:t>
      </w:r>
      <w:r w:rsidRPr="00EF111E">
        <w:rPr>
          <w:rStyle w:val="apple-converted-space"/>
          <w:color w:val="000000"/>
          <w:spacing w:val="4"/>
          <w:shd w:val="clear" w:color="auto" w:fill="FFFFFF"/>
          <w:lang w:val="vi-VN"/>
        </w:rPr>
        <w:t> </w:t>
      </w:r>
      <w:r w:rsidRPr="00EF111E">
        <w:rPr>
          <w:color w:val="000000"/>
          <w:spacing w:val="4"/>
          <w:lang w:val="vi-VN"/>
        </w:rPr>
        <w:t>trí kinh phí thực hiện chương trình hiệu quả và tiết kiệm.</w:t>
      </w:r>
    </w:p>
    <w:p w14:paraId="00E6F37E" w14:textId="5402BECC" w:rsidR="00A107E5" w:rsidRPr="00EF111E" w:rsidRDefault="005B3CF7" w:rsidP="00EF111E">
      <w:pPr>
        <w:spacing w:before="60" w:after="60" w:line="240" w:lineRule="auto"/>
        <w:ind w:firstLine="720"/>
        <w:jc w:val="both"/>
        <w:rPr>
          <w:lang w:val="vi-VN"/>
        </w:rPr>
      </w:pPr>
      <w:r w:rsidRPr="00EF111E">
        <w:rPr>
          <w:color w:val="000000"/>
          <w:lang w:val="vi-VN"/>
        </w:rPr>
        <w:t xml:space="preserve">2. </w:t>
      </w:r>
      <w:r w:rsidR="00A107E5" w:rsidRPr="00EF111E">
        <w:rPr>
          <w:lang w:val="vi-VN"/>
        </w:rPr>
        <w:t xml:space="preserve">Thẩm định dự toán kinh phí thực hiện chương trình sau khi các Đề án được UBND tỉnh phê duyệt. </w:t>
      </w:r>
    </w:p>
    <w:p w14:paraId="33ADF4A1" w14:textId="3F97E8D4" w:rsidR="00A107E5" w:rsidRPr="00EF111E" w:rsidRDefault="005B3CF7" w:rsidP="00EF111E">
      <w:pPr>
        <w:spacing w:before="60" w:after="60" w:line="240" w:lineRule="auto"/>
        <w:ind w:firstLine="720"/>
        <w:jc w:val="both"/>
        <w:rPr>
          <w:lang w:val="vi-VN"/>
        </w:rPr>
      </w:pPr>
      <w:r w:rsidRPr="00EF111E">
        <w:rPr>
          <w:lang w:val="vi-VN"/>
        </w:rPr>
        <w:t xml:space="preserve">3. </w:t>
      </w:r>
      <w:r w:rsidR="00A107E5" w:rsidRPr="00EF111E">
        <w:rPr>
          <w:lang w:val="vi-VN"/>
        </w:rPr>
        <w:t xml:space="preserve">Kiểm tra, hướng dẫn các cơ quan, đơn vị liên quan lập dự toán, phân bổ, sử dụng và thanh quyết toán các khoản kinh phí xúc tiến thương mại tỉnh theo quy định của pháp luật”. </w:t>
      </w:r>
    </w:p>
    <w:p w14:paraId="2A7F74E7" w14:textId="786A26C6" w:rsidR="00EB7672" w:rsidRPr="00EF111E" w:rsidRDefault="00EB7672" w:rsidP="00EF111E">
      <w:pPr>
        <w:spacing w:before="60" w:after="60" w:line="240" w:lineRule="auto"/>
        <w:ind w:firstLine="720"/>
        <w:jc w:val="both"/>
        <w:rPr>
          <w:b/>
          <w:bCs/>
          <w:lang w:val="vi"/>
        </w:rPr>
      </w:pPr>
      <w:r w:rsidRPr="00EF111E">
        <w:rPr>
          <w:b/>
          <w:bCs/>
          <w:color w:val="000000"/>
          <w:shd w:val="clear" w:color="auto" w:fill="FFFFFF"/>
          <w:lang w:val="vi-VN"/>
        </w:rPr>
        <w:t>Điều 2.</w:t>
      </w:r>
      <w:r w:rsidRPr="00EF111E">
        <w:rPr>
          <w:b/>
          <w:color w:val="000000"/>
          <w:shd w:val="clear" w:color="auto" w:fill="FFFFFF"/>
          <w:lang w:val="vi-VN"/>
        </w:rPr>
        <w:t xml:space="preserve"> Bổ sung, thay thế</w:t>
      </w:r>
      <w:r w:rsidR="00A107E5" w:rsidRPr="00EF111E">
        <w:rPr>
          <w:b/>
          <w:color w:val="000000"/>
          <w:shd w:val="clear" w:color="auto" w:fill="FFFFFF"/>
          <w:lang w:val="vi-VN"/>
        </w:rPr>
        <w:t xml:space="preserve"> </w:t>
      </w:r>
      <w:r w:rsidRPr="00EF111E">
        <w:rPr>
          <w:b/>
          <w:color w:val="000000"/>
          <w:shd w:val="clear" w:color="auto" w:fill="FFFFFF"/>
          <w:lang w:val="vi-VN"/>
        </w:rPr>
        <w:t xml:space="preserve">một số từ, điểm, khoản, điều của </w:t>
      </w:r>
      <w:r w:rsidRPr="00EF111E">
        <w:rPr>
          <w:b/>
          <w:bCs/>
          <w:lang w:val="vi-VN"/>
        </w:rPr>
        <w:t>Quy chế xây dựng, quản lý và thực hiện chương trình xúc tiến thương mại tỉnh Bình Phước ban hành kèm theo Quyết định 14/2021/QĐ-UBND ngày 13 tháng 5 năm 2021 của Ủy ban nhân dân tỉnh Bình Phước</w:t>
      </w:r>
    </w:p>
    <w:p w14:paraId="2A218CE6" w14:textId="554E53BB" w:rsidR="00301006" w:rsidRPr="00EF111E" w:rsidRDefault="00EB7672" w:rsidP="00EF111E">
      <w:pPr>
        <w:pStyle w:val="NormalWeb"/>
        <w:shd w:val="clear" w:color="auto" w:fill="FFFFFF"/>
        <w:spacing w:before="60" w:beforeAutospacing="0" w:after="60" w:afterAutospacing="0"/>
        <w:ind w:firstLine="720"/>
        <w:jc w:val="both"/>
        <w:rPr>
          <w:color w:val="000000"/>
          <w:sz w:val="28"/>
          <w:szCs w:val="28"/>
          <w:shd w:val="clear" w:color="auto" w:fill="FFFFFF"/>
          <w:lang w:val="vi"/>
        </w:rPr>
      </w:pPr>
      <w:r w:rsidRPr="00EF111E">
        <w:rPr>
          <w:color w:val="000000"/>
          <w:sz w:val="28"/>
          <w:szCs w:val="28"/>
          <w:shd w:val="clear" w:color="auto" w:fill="FFFFFF"/>
          <w:lang w:val="vi-VN"/>
        </w:rPr>
        <w:t xml:space="preserve">1. </w:t>
      </w:r>
      <w:r w:rsidR="00301006" w:rsidRPr="00EF111E">
        <w:rPr>
          <w:color w:val="000000"/>
          <w:sz w:val="28"/>
          <w:szCs w:val="28"/>
          <w:shd w:val="clear" w:color="auto" w:fill="FFFFFF"/>
          <w:lang w:val="vi"/>
        </w:rPr>
        <w:t>Bổ sung cụm từ “chủ trì” vào sau cụm từ “chịu trách nhiệm” tại khoản 1 Điều 4.</w:t>
      </w:r>
    </w:p>
    <w:p w14:paraId="77CFB59A" w14:textId="0F895E3E" w:rsidR="008B6514" w:rsidRPr="00EF111E" w:rsidRDefault="00EF48C5" w:rsidP="00EF111E">
      <w:pPr>
        <w:spacing w:before="60" w:after="60" w:line="240" w:lineRule="auto"/>
        <w:ind w:firstLine="720"/>
        <w:jc w:val="both"/>
        <w:rPr>
          <w:lang w:val="pt-BR"/>
        </w:rPr>
      </w:pPr>
      <w:r w:rsidRPr="00EF111E">
        <w:rPr>
          <w:lang w:val="vi"/>
        </w:rPr>
        <w:t>2</w:t>
      </w:r>
      <w:r w:rsidR="008B6514" w:rsidRPr="00EF111E">
        <w:rPr>
          <w:lang w:val="pt-BR"/>
        </w:rPr>
        <w:t>. Tha</w:t>
      </w:r>
      <w:r w:rsidR="008B6514" w:rsidRPr="00EF111E">
        <w:rPr>
          <w:lang w:val="vi-VN"/>
        </w:rPr>
        <w:t xml:space="preserve">y thế </w:t>
      </w:r>
      <w:r w:rsidR="008B6514" w:rsidRPr="00EF111E">
        <w:rPr>
          <w:lang w:val="pt-BR"/>
        </w:rPr>
        <w:t>cụm từ “</w:t>
      </w:r>
      <w:r w:rsidR="00AB753F" w:rsidRPr="00EF111E">
        <w:rPr>
          <w:lang w:val="pt-BR"/>
        </w:rPr>
        <w:t xml:space="preserve">Thẩm </w:t>
      </w:r>
      <w:r w:rsidR="008B6514" w:rsidRPr="00EF111E">
        <w:rPr>
          <w:lang w:val="pt-BR"/>
        </w:rPr>
        <w:t>định và quản lý kinh phí chương trình” thành “</w:t>
      </w:r>
      <w:r w:rsidR="00AB753F" w:rsidRPr="00EF111E">
        <w:rPr>
          <w:lang w:val="pt-BR"/>
        </w:rPr>
        <w:t xml:space="preserve">Xây </w:t>
      </w:r>
      <w:r w:rsidR="008B6514" w:rsidRPr="00EF111E">
        <w:rPr>
          <w:lang w:val="pt-BR"/>
        </w:rPr>
        <w:t>dựng và thực hiện ch</w:t>
      </w:r>
      <w:r w:rsidR="00024D0B" w:rsidRPr="00EF111E">
        <w:rPr>
          <w:lang w:val="pt-BR"/>
        </w:rPr>
        <w:t>ương trình” tại Chương III.</w:t>
      </w:r>
    </w:p>
    <w:p w14:paraId="28A91567" w14:textId="28FCE23C" w:rsidR="0015748D" w:rsidRPr="00EF111E" w:rsidRDefault="00C6413D" w:rsidP="00EF111E">
      <w:pPr>
        <w:pStyle w:val="BodyText"/>
        <w:spacing w:before="60" w:after="60"/>
        <w:ind w:firstLine="720"/>
        <w:jc w:val="both"/>
        <w:rPr>
          <w:b/>
          <w:color w:val="000000"/>
          <w:sz w:val="28"/>
          <w:szCs w:val="28"/>
          <w:lang w:val="pt-BR" w:eastAsia="vi-VN"/>
        </w:rPr>
      </w:pPr>
      <w:r w:rsidRPr="00EF111E">
        <w:rPr>
          <w:b/>
          <w:color w:val="000000"/>
          <w:sz w:val="28"/>
          <w:szCs w:val="28"/>
          <w:lang w:val="pt-BR" w:eastAsia="vi-VN"/>
        </w:rPr>
        <w:t xml:space="preserve">Điều </w:t>
      </w:r>
      <w:r w:rsidR="00D0155B" w:rsidRPr="00EF111E">
        <w:rPr>
          <w:b/>
          <w:color w:val="000000"/>
          <w:sz w:val="28"/>
          <w:szCs w:val="28"/>
          <w:lang w:val="pt-BR" w:eastAsia="vi-VN"/>
        </w:rPr>
        <w:t>3</w:t>
      </w:r>
      <w:r w:rsidRPr="00EF111E">
        <w:rPr>
          <w:b/>
          <w:color w:val="000000"/>
          <w:sz w:val="28"/>
          <w:szCs w:val="28"/>
          <w:lang w:val="pt-BR" w:eastAsia="vi-VN"/>
        </w:rPr>
        <w:t xml:space="preserve">. </w:t>
      </w:r>
      <w:r w:rsidR="0015748D" w:rsidRPr="00EF111E">
        <w:rPr>
          <w:b/>
          <w:color w:val="000000"/>
          <w:sz w:val="28"/>
          <w:szCs w:val="28"/>
          <w:lang w:val="pt-BR" w:eastAsia="vi-VN"/>
        </w:rPr>
        <w:t>Tổ chức thực hiện</w:t>
      </w:r>
      <w:r w:rsidR="001B4B59">
        <w:rPr>
          <w:b/>
          <w:color w:val="000000"/>
          <w:sz w:val="28"/>
          <w:szCs w:val="28"/>
          <w:lang w:val="pt-BR" w:eastAsia="vi-VN"/>
        </w:rPr>
        <w:t xml:space="preserve"> và hiệu lực thi hành</w:t>
      </w:r>
      <w:r w:rsidR="0015748D" w:rsidRPr="00EF111E">
        <w:rPr>
          <w:b/>
          <w:color w:val="000000"/>
          <w:sz w:val="28"/>
          <w:szCs w:val="28"/>
          <w:lang w:val="pt-BR" w:eastAsia="vi-VN"/>
        </w:rPr>
        <w:t xml:space="preserve"> </w:t>
      </w:r>
    </w:p>
    <w:p w14:paraId="47223E11" w14:textId="77DFA9D0" w:rsidR="00C6413D" w:rsidRPr="00EF111E" w:rsidRDefault="001B4B59" w:rsidP="00EF111E">
      <w:pPr>
        <w:pStyle w:val="BodyText"/>
        <w:spacing w:before="60" w:after="60"/>
        <w:ind w:firstLine="720"/>
        <w:jc w:val="both"/>
        <w:rPr>
          <w:color w:val="000000"/>
          <w:sz w:val="28"/>
          <w:szCs w:val="28"/>
          <w:lang w:val="nl-NL"/>
        </w:rPr>
      </w:pPr>
      <w:r>
        <w:rPr>
          <w:color w:val="000000"/>
          <w:sz w:val="28"/>
          <w:szCs w:val="28"/>
          <w:lang w:val="nl-NL"/>
        </w:rPr>
        <w:t>1.</w:t>
      </w:r>
      <w:r w:rsidR="00C74A88">
        <w:rPr>
          <w:color w:val="000000"/>
          <w:sz w:val="28"/>
          <w:szCs w:val="28"/>
          <w:lang w:val="nl-NL"/>
        </w:rPr>
        <w:t xml:space="preserve"> </w:t>
      </w:r>
      <w:r w:rsidR="005D282E" w:rsidRPr="00EF111E">
        <w:rPr>
          <w:color w:val="000000"/>
          <w:sz w:val="28"/>
          <w:szCs w:val="28"/>
          <w:lang w:val="nl-NL"/>
        </w:rPr>
        <w:t>Các ông (bà) Chánh văn phòng Uỷ ban nhân dân tỉnh; Giám đốc Sở Công Thương; Thủ trưởng các Sở, ban, ngành; Chủ tịch Ủy ban nhân dân các</w:t>
      </w:r>
      <w:r w:rsidR="005D282E" w:rsidRPr="00EF111E">
        <w:rPr>
          <w:color w:val="000000"/>
          <w:sz w:val="28"/>
          <w:szCs w:val="28"/>
          <w:lang w:val="nl-NL"/>
        </w:rPr>
        <w:br/>
        <w:t>huyện, thị xã, thành phố và các đơn vị, tổ chức, cá nhân có liên quan chịu trách nhiệm thi hành Quyết định này</w:t>
      </w:r>
      <w:r w:rsidR="00CD2F70" w:rsidRPr="00EF111E">
        <w:rPr>
          <w:color w:val="000000"/>
          <w:sz w:val="28"/>
          <w:szCs w:val="28"/>
          <w:lang w:val="nl-NL"/>
        </w:rPr>
        <w:t>.</w:t>
      </w:r>
    </w:p>
    <w:p w14:paraId="644C44E6" w14:textId="6F5B2569" w:rsidR="00D349BA" w:rsidRPr="00EF111E" w:rsidRDefault="001B4B59" w:rsidP="00EF111E">
      <w:pPr>
        <w:pStyle w:val="BodyText"/>
        <w:spacing w:before="60" w:after="60"/>
        <w:ind w:firstLine="720"/>
        <w:jc w:val="both"/>
        <w:rPr>
          <w:spacing w:val="-2"/>
          <w:sz w:val="28"/>
          <w:szCs w:val="28"/>
          <w:lang w:val="pt-BR"/>
        </w:rPr>
      </w:pPr>
      <w:r>
        <w:rPr>
          <w:spacing w:val="-2"/>
          <w:sz w:val="28"/>
          <w:szCs w:val="28"/>
          <w:lang w:val="nl-NL"/>
        </w:rPr>
        <w:t>2</w:t>
      </w:r>
      <w:r w:rsidR="00EF48C5" w:rsidRPr="00EF111E">
        <w:rPr>
          <w:spacing w:val="-2"/>
          <w:sz w:val="28"/>
          <w:szCs w:val="28"/>
          <w:lang w:val="nl-NL"/>
        </w:rPr>
        <w:t xml:space="preserve">. </w:t>
      </w:r>
      <w:r w:rsidR="00D349BA" w:rsidRPr="00EF111E">
        <w:rPr>
          <w:spacing w:val="-2"/>
          <w:sz w:val="28"/>
          <w:szCs w:val="28"/>
          <w:lang w:val="vi-VN"/>
        </w:rPr>
        <w:t xml:space="preserve">Quyết định này có hiệu lực thi hành kể từ ngày </w:t>
      </w:r>
      <w:r w:rsidR="008B3DFC">
        <w:rPr>
          <w:spacing w:val="-2"/>
          <w:sz w:val="28"/>
          <w:szCs w:val="28"/>
        </w:rPr>
        <w:t>15</w:t>
      </w:r>
      <w:r w:rsidR="00D349BA" w:rsidRPr="00EF111E">
        <w:rPr>
          <w:spacing w:val="-2"/>
          <w:sz w:val="28"/>
          <w:szCs w:val="28"/>
          <w:lang w:val="vi-VN"/>
        </w:rPr>
        <w:t xml:space="preserve"> tháng</w:t>
      </w:r>
      <w:r w:rsidR="008B3DFC">
        <w:rPr>
          <w:spacing w:val="-2"/>
          <w:sz w:val="28"/>
          <w:szCs w:val="28"/>
        </w:rPr>
        <w:t xml:space="preserve"> </w:t>
      </w:r>
      <w:bookmarkStart w:id="2" w:name="_GoBack"/>
      <w:bookmarkEnd w:id="2"/>
      <w:r w:rsidR="008B3DFC">
        <w:rPr>
          <w:spacing w:val="-2"/>
          <w:sz w:val="28"/>
          <w:szCs w:val="28"/>
        </w:rPr>
        <w:t xml:space="preserve">12 </w:t>
      </w:r>
      <w:r w:rsidR="00D349BA" w:rsidRPr="00EF111E">
        <w:rPr>
          <w:spacing w:val="-2"/>
          <w:sz w:val="28"/>
          <w:szCs w:val="28"/>
          <w:lang w:val="vi-VN"/>
        </w:rPr>
        <w:t>năm 2024</w:t>
      </w:r>
      <w:r w:rsidR="00D349BA" w:rsidRPr="00EF111E">
        <w:rPr>
          <w:spacing w:val="-2"/>
          <w:sz w:val="28"/>
          <w:szCs w:val="28"/>
          <w:lang w:val="pt-BR"/>
        </w:rPr>
        <w:t>.</w:t>
      </w:r>
    </w:p>
    <w:p w14:paraId="7373843D" w14:textId="0B728E50" w:rsidR="00EF48C5" w:rsidRPr="00EF111E" w:rsidRDefault="001B4B59" w:rsidP="00EF111E">
      <w:pPr>
        <w:pStyle w:val="BodyText"/>
        <w:spacing w:before="60" w:after="60"/>
        <w:ind w:firstLine="720"/>
        <w:jc w:val="both"/>
        <w:rPr>
          <w:spacing w:val="-2"/>
          <w:sz w:val="28"/>
          <w:szCs w:val="28"/>
          <w:lang w:val="pt-BR"/>
        </w:rPr>
      </w:pPr>
      <w:r>
        <w:rPr>
          <w:spacing w:val="-2"/>
          <w:sz w:val="28"/>
          <w:szCs w:val="28"/>
          <w:lang w:val="pt-BR"/>
        </w:rPr>
        <w:t>3</w:t>
      </w:r>
      <w:r w:rsidR="00EF48C5" w:rsidRPr="00EF111E">
        <w:rPr>
          <w:spacing w:val="-2"/>
          <w:sz w:val="28"/>
          <w:szCs w:val="28"/>
          <w:lang w:val="pt-BR"/>
        </w:rPr>
        <w:t xml:space="preserve">. Trong quá trình thực hiện nếu các văn bản quy phạm pháp luật được dẫn chiếu tại Quyết định này được sửa đổi, bổ sung, thay thế thì thực hiện theo các văn bản sửa đổi, bổ sung hoặc thay thế. </w:t>
      </w:r>
    </w:p>
    <w:p w14:paraId="0BB543AF" w14:textId="77777777" w:rsidR="00D349BA" w:rsidRPr="00EF111E" w:rsidRDefault="00D349BA" w:rsidP="00EF111E">
      <w:pPr>
        <w:pStyle w:val="BodyText"/>
        <w:spacing w:before="60" w:after="60"/>
        <w:ind w:firstLine="720"/>
        <w:jc w:val="both"/>
        <w:rPr>
          <w:spacing w:val="-2"/>
          <w:sz w:val="28"/>
          <w:szCs w:val="28"/>
          <w:lang w:val="pt-BR"/>
        </w:rPr>
      </w:pP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EA4E28" w:rsidRPr="004A7837" w14:paraId="0C8408EF" w14:textId="77777777" w:rsidTr="00AF7F8A">
        <w:trPr>
          <w:tblCellSpacing w:w="0" w:type="dxa"/>
        </w:trPr>
        <w:tc>
          <w:tcPr>
            <w:tcW w:w="4428" w:type="dxa"/>
            <w:tcMar>
              <w:top w:w="0" w:type="dxa"/>
              <w:left w:w="108" w:type="dxa"/>
              <w:bottom w:w="0" w:type="dxa"/>
              <w:right w:w="108" w:type="dxa"/>
            </w:tcMar>
            <w:hideMark/>
          </w:tcPr>
          <w:p w14:paraId="16D3D5F9" w14:textId="77777777" w:rsidR="00EA4E28" w:rsidRPr="00D839C7" w:rsidRDefault="00EA4E28" w:rsidP="00D84DA4">
            <w:pPr>
              <w:spacing w:line="240" w:lineRule="auto"/>
              <w:jc w:val="left"/>
              <w:rPr>
                <w:rFonts w:eastAsia="Times New Roman"/>
                <w:sz w:val="22"/>
                <w:lang w:val="pt-BR"/>
              </w:rPr>
            </w:pPr>
            <w:r w:rsidRPr="00D839C7">
              <w:rPr>
                <w:rFonts w:eastAsia="Times New Roman"/>
                <w:b/>
                <w:bCs/>
                <w:i/>
                <w:iCs/>
                <w:sz w:val="24"/>
                <w:szCs w:val="24"/>
                <w:lang w:val="pt-BR"/>
              </w:rPr>
              <w:t>Nơi nhận:</w:t>
            </w:r>
            <w:r w:rsidRPr="00D839C7">
              <w:rPr>
                <w:rFonts w:eastAsia="Times New Roman"/>
                <w:b/>
                <w:bCs/>
                <w:i/>
                <w:iCs/>
                <w:sz w:val="24"/>
                <w:szCs w:val="24"/>
                <w:lang w:val="pt-BR"/>
              </w:rPr>
              <w:br/>
            </w:r>
            <w:r w:rsidRPr="00D839C7">
              <w:rPr>
                <w:rFonts w:eastAsia="Times New Roman"/>
                <w:sz w:val="22"/>
                <w:lang w:val="pt-BR"/>
              </w:rPr>
              <w:t xml:space="preserve">- </w:t>
            </w:r>
            <w:r w:rsidRPr="00D839C7">
              <w:rPr>
                <w:sz w:val="22"/>
                <w:lang w:val="pt-BR"/>
              </w:rPr>
              <w:t xml:space="preserve">Văn phòng Chính phủ; </w:t>
            </w:r>
          </w:p>
          <w:p w14:paraId="57C4812E" w14:textId="77777777" w:rsidR="00EA4E28" w:rsidRPr="00D839C7" w:rsidRDefault="00EA4E28" w:rsidP="00D84DA4">
            <w:pPr>
              <w:spacing w:line="240" w:lineRule="auto"/>
              <w:jc w:val="left"/>
              <w:rPr>
                <w:rFonts w:eastAsia="Times New Roman"/>
                <w:sz w:val="22"/>
                <w:lang w:val="pt-BR"/>
              </w:rPr>
            </w:pPr>
            <w:r w:rsidRPr="00D839C7">
              <w:rPr>
                <w:sz w:val="22"/>
                <w:lang w:val="pt-BR"/>
              </w:rPr>
              <w:t>- Cục Kiểm tra văn bản - Bộ Tư pháp;</w:t>
            </w:r>
            <w:r w:rsidRPr="00D839C7">
              <w:rPr>
                <w:rFonts w:eastAsia="Times New Roman"/>
                <w:sz w:val="22"/>
                <w:lang w:val="pt-BR"/>
              </w:rPr>
              <w:br/>
              <w:t>- Bộ Công Thương;</w:t>
            </w:r>
            <w:r w:rsidRPr="00D839C7">
              <w:rPr>
                <w:rFonts w:eastAsia="Times New Roman"/>
                <w:sz w:val="22"/>
                <w:lang w:val="pt-BR"/>
              </w:rPr>
              <w:br/>
              <w:t>- Thường trực Tỉnh ủy;</w:t>
            </w:r>
            <w:r w:rsidRPr="00D839C7">
              <w:rPr>
                <w:rFonts w:eastAsia="Times New Roman"/>
                <w:sz w:val="22"/>
                <w:lang w:val="pt-BR"/>
              </w:rPr>
              <w:br/>
              <w:t>- Thường trực HĐND tỉnh;</w:t>
            </w:r>
            <w:r w:rsidRPr="00D839C7">
              <w:rPr>
                <w:rFonts w:eastAsia="Times New Roman"/>
                <w:sz w:val="22"/>
                <w:lang w:val="pt-BR"/>
              </w:rPr>
              <w:br/>
              <w:t>- Đoàn Đại biểu Quốc hội tỉnh;</w:t>
            </w:r>
            <w:r w:rsidRPr="00D839C7">
              <w:rPr>
                <w:rFonts w:eastAsia="Times New Roman"/>
                <w:sz w:val="22"/>
                <w:lang w:val="pt-BR"/>
              </w:rPr>
              <w:br/>
              <w:t>- Ủy ban MTTQ Việt Nam tỉnh;</w:t>
            </w:r>
            <w:r w:rsidRPr="00D839C7">
              <w:rPr>
                <w:rFonts w:eastAsia="Times New Roman"/>
                <w:sz w:val="22"/>
                <w:lang w:val="pt-BR"/>
              </w:rPr>
              <w:br/>
              <w:t>- CT, các PCT UBND tỉnh;</w:t>
            </w:r>
          </w:p>
          <w:p w14:paraId="289CA5BE" w14:textId="66F6387C" w:rsidR="00EA4E28" w:rsidRPr="00D839C7" w:rsidRDefault="00EA4E28" w:rsidP="00D84DA4">
            <w:pPr>
              <w:spacing w:line="240" w:lineRule="auto"/>
              <w:jc w:val="left"/>
              <w:rPr>
                <w:rFonts w:eastAsia="Times New Roman"/>
                <w:sz w:val="22"/>
                <w:lang w:val="pt-BR"/>
              </w:rPr>
            </w:pPr>
            <w:r w:rsidRPr="00D839C7">
              <w:rPr>
                <w:rFonts w:eastAsia="Times New Roman"/>
                <w:sz w:val="22"/>
                <w:lang w:val="pt-BR"/>
              </w:rPr>
              <w:t xml:space="preserve">- Như Điều </w:t>
            </w:r>
            <w:r w:rsidR="00EF111E">
              <w:rPr>
                <w:rFonts w:eastAsia="Times New Roman"/>
                <w:sz w:val="22"/>
                <w:lang w:val="pt-BR"/>
              </w:rPr>
              <w:t>3</w:t>
            </w:r>
            <w:r w:rsidRPr="00D839C7">
              <w:rPr>
                <w:rFonts w:eastAsia="Times New Roman"/>
                <w:sz w:val="22"/>
                <w:lang w:val="pt-BR"/>
              </w:rPr>
              <w:t>;</w:t>
            </w:r>
            <w:r w:rsidRPr="00D839C7">
              <w:rPr>
                <w:rFonts w:eastAsia="Times New Roman"/>
                <w:sz w:val="22"/>
                <w:lang w:val="pt-BR"/>
              </w:rPr>
              <w:br/>
              <w:t xml:space="preserve">- </w:t>
            </w:r>
            <w:r w:rsidRPr="00D839C7">
              <w:rPr>
                <w:sz w:val="22"/>
                <w:lang w:val="pt-BR"/>
              </w:rPr>
              <w:t>Trung tâm</w:t>
            </w:r>
            <w:r w:rsidR="00205139" w:rsidRPr="00D839C7">
              <w:rPr>
                <w:sz w:val="22"/>
                <w:lang w:val="pt-BR"/>
              </w:rPr>
              <w:t xml:space="preserve"> </w:t>
            </w:r>
            <w:r w:rsidR="00683CFC">
              <w:rPr>
                <w:sz w:val="22"/>
                <w:lang w:val="pt-BR"/>
              </w:rPr>
              <w:t>phục</w:t>
            </w:r>
            <w:r w:rsidR="00683CFC">
              <w:rPr>
                <w:sz w:val="22"/>
                <w:lang w:val="vi-VN"/>
              </w:rPr>
              <w:t xml:space="preserve"> vụ hành chính công</w:t>
            </w:r>
            <w:r w:rsidRPr="00D839C7">
              <w:rPr>
                <w:rFonts w:eastAsia="Times New Roman"/>
                <w:sz w:val="22"/>
                <w:lang w:val="pt-BR"/>
              </w:rPr>
              <w:t>;</w:t>
            </w:r>
            <w:r w:rsidRPr="00D839C7">
              <w:rPr>
                <w:rFonts w:eastAsia="Times New Roman"/>
                <w:sz w:val="22"/>
                <w:lang w:val="pt-BR"/>
              </w:rPr>
              <w:br/>
              <w:t>- Lưu: VT.</w:t>
            </w:r>
          </w:p>
        </w:tc>
        <w:tc>
          <w:tcPr>
            <w:tcW w:w="4428" w:type="dxa"/>
            <w:tcMar>
              <w:top w:w="0" w:type="dxa"/>
              <w:left w:w="108" w:type="dxa"/>
              <w:bottom w:w="0" w:type="dxa"/>
              <w:right w:w="108" w:type="dxa"/>
            </w:tcMar>
            <w:hideMark/>
          </w:tcPr>
          <w:p w14:paraId="1C8F304F" w14:textId="77777777" w:rsidR="00EA4E28" w:rsidRPr="00D839C7" w:rsidRDefault="00EA4E28" w:rsidP="00AF7F8A">
            <w:pPr>
              <w:spacing w:line="240" w:lineRule="auto"/>
              <w:rPr>
                <w:rFonts w:eastAsia="Times New Roman"/>
                <w:b/>
                <w:bCs/>
              </w:rPr>
            </w:pPr>
            <w:r w:rsidRPr="00D839C7">
              <w:rPr>
                <w:rFonts w:eastAsia="Times New Roman"/>
                <w:b/>
                <w:bCs/>
              </w:rPr>
              <w:t>TM. ỦY BAN NHÂN DÂN</w:t>
            </w:r>
          </w:p>
          <w:p w14:paraId="3C3D08B6" w14:textId="77777777" w:rsidR="00EA4E28" w:rsidRPr="004A7837" w:rsidRDefault="00EA4E28" w:rsidP="00AF7F8A">
            <w:pPr>
              <w:spacing w:line="240" w:lineRule="auto"/>
              <w:rPr>
                <w:rFonts w:eastAsia="Times New Roman"/>
              </w:rPr>
            </w:pPr>
            <w:r w:rsidRPr="00D839C7">
              <w:rPr>
                <w:rFonts w:eastAsia="Times New Roman"/>
                <w:b/>
                <w:bCs/>
              </w:rPr>
              <w:t>CHỦ TỊCH</w:t>
            </w:r>
            <w:r w:rsidRPr="004A7837">
              <w:rPr>
                <w:rFonts w:eastAsia="Times New Roman"/>
                <w:b/>
                <w:bCs/>
              </w:rPr>
              <w:br/>
            </w:r>
          </w:p>
        </w:tc>
      </w:tr>
    </w:tbl>
    <w:p w14:paraId="405771FF" w14:textId="77777777" w:rsidR="0034687B" w:rsidRDefault="0034687B" w:rsidP="00EA4E28">
      <w:pPr>
        <w:pStyle w:val="NormalWeb"/>
        <w:spacing w:before="120" w:beforeAutospacing="0" w:after="120" w:afterAutospacing="0" w:line="312" w:lineRule="auto"/>
        <w:ind w:firstLine="567"/>
        <w:jc w:val="both"/>
      </w:pPr>
    </w:p>
    <w:sectPr w:rsidR="0034687B" w:rsidSect="00106E5C">
      <w:headerReference w:type="default" r:id="rId12"/>
      <w:footerReference w:type="default" r:id="rId13"/>
      <w:headerReference w:type="first" r:id="rId14"/>
      <w:pgSz w:w="11907" w:h="16840" w:code="9"/>
      <w:pgMar w:top="1134" w:right="1275" w:bottom="1276"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5D35F" w14:textId="77777777" w:rsidR="00414443" w:rsidRDefault="00414443" w:rsidP="00400BE7">
      <w:pPr>
        <w:spacing w:line="240" w:lineRule="auto"/>
      </w:pPr>
      <w:r>
        <w:separator/>
      </w:r>
    </w:p>
  </w:endnote>
  <w:endnote w:type="continuationSeparator" w:id="0">
    <w:p w14:paraId="10B5845C" w14:textId="77777777" w:rsidR="00414443" w:rsidRDefault="00414443" w:rsidP="00400B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58AD7" w14:textId="1E9C5DF2" w:rsidR="00625F08" w:rsidRDefault="00625F08">
    <w:pPr>
      <w:pStyle w:val="Footer"/>
    </w:pPr>
  </w:p>
  <w:p w14:paraId="21FC2B08" w14:textId="77777777" w:rsidR="00625F08" w:rsidRDefault="00625F0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4B5CC" w14:textId="77777777" w:rsidR="00414443" w:rsidRDefault="00414443" w:rsidP="00400BE7">
      <w:pPr>
        <w:spacing w:line="240" w:lineRule="auto"/>
      </w:pPr>
      <w:r>
        <w:separator/>
      </w:r>
    </w:p>
  </w:footnote>
  <w:footnote w:type="continuationSeparator" w:id="0">
    <w:p w14:paraId="7ECA65A3" w14:textId="77777777" w:rsidR="00414443" w:rsidRDefault="00414443" w:rsidP="00400B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978280"/>
      <w:docPartObj>
        <w:docPartGallery w:val="Page Numbers (Top of Page)"/>
        <w:docPartUnique/>
      </w:docPartObj>
    </w:sdtPr>
    <w:sdtEndPr>
      <w:rPr>
        <w:noProof/>
      </w:rPr>
    </w:sdtEndPr>
    <w:sdtContent>
      <w:p w14:paraId="1D65E370" w14:textId="4D3B65C6" w:rsidR="00106E5C" w:rsidRDefault="00106E5C">
        <w:pPr>
          <w:pStyle w:val="Header"/>
        </w:pPr>
        <w:r>
          <w:fldChar w:fldCharType="begin"/>
        </w:r>
        <w:r>
          <w:instrText xml:space="preserve"> PAGE   \* MERGEFORMAT </w:instrText>
        </w:r>
        <w:r>
          <w:fldChar w:fldCharType="separate"/>
        </w:r>
        <w:r w:rsidR="008B3DFC">
          <w:rPr>
            <w:noProof/>
          </w:rPr>
          <w:t>4</w:t>
        </w:r>
        <w:r>
          <w:rPr>
            <w:noProof/>
          </w:rPr>
          <w:fldChar w:fldCharType="end"/>
        </w:r>
      </w:p>
    </w:sdtContent>
  </w:sdt>
  <w:p w14:paraId="5F6DA25F" w14:textId="77777777" w:rsidR="00077D81" w:rsidRDefault="00077D8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71C40" w14:textId="0E5D16A5" w:rsidR="00106E5C" w:rsidRDefault="00106E5C">
    <w:pPr>
      <w:pStyle w:val="Header"/>
    </w:pPr>
  </w:p>
  <w:p w14:paraId="659CE760" w14:textId="77777777" w:rsidR="001938C6" w:rsidRDefault="001938C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020D9"/>
    <w:multiLevelType w:val="hybridMultilevel"/>
    <w:tmpl w:val="B44EBE1E"/>
    <w:lvl w:ilvl="0" w:tplc="2CAC13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3D4C3E20"/>
    <w:multiLevelType w:val="hybridMultilevel"/>
    <w:tmpl w:val="F3F6AB58"/>
    <w:lvl w:ilvl="0" w:tplc="26F294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3F5301B"/>
    <w:multiLevelType w:val="hybridMultilevel"/>
    <w:tmpl w:val="880845C2"/>
    <w:lvl w:ilvl="0" w:tplc="99E2061A">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B741341"/>
    <w:multiLevelType w:val="hybridMultilevel"/>
    <w:tmpl w:val="E1480EC2"/>
    <w:lvl w:ilvl="0" w:tplc="8718088A">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28D"/>
    <w:rsid w:val="000007FB"/>
    <w:rsid w:val="00010574"/>
    <w:rsid w:val="00014124"/>
    <w:rsid w:val="000232EC"/>
    <w:rsid w:val="00024D0B"/>
    <w:rsid w:val="00030B47"/>
    <w:rsid w:val="00032DF2"/>
    <w:rsid w:val="000359F7"/>
    <w:rsid w:val="000413B6"/>
    <w:rsid w:val="00041A26"/>
    <w:rsid w:val="00051DCB"/>
    <w:rsid w:val="00056377"/>
    <w:rsid w:val="00066B48"/>
    <w:rsid w:val="00070085"/>
    <w:rsid w:val="00077D81"/>
    <w:rsid w:val="00080771"/>
    <w:rsid w:val="00085582"/>
    <w:rsid w:val="00091C13"/>
    <w:rsid w:val="00092E6F"/>
    <w:rsid w:val="000C598F"/>
    <w:rsid w:val="000D403D"/>
    <w:rsid w:val="000E0293"/>
    <w:rsid w:val="000E3073"/>
    <w:rsid w:val="000E4055"/>
    <w:rsid w:val="00106E5C"/>
    <w:rsid w:val="001119EF"/>
    <w:rsid w:val="001207F4"/>
    <w:rsid w:val="0012382E"/>
    <w:rsid w:val="00133988"/>
    <w:rsid w:val="00134938"/>
    <w:rsid w:val="00144104"/>
    <w:rsid w:val="00152C3E"/>
    <w:rsid w:val="0015748D"/>
    <w:rsid w:val="00160F21"/>
    <w:rsid w:val="0016327A"/>
    <w:rsid w:val="00176C79"/>
    <w:rsid w:val="00187C53"/>
    <w:rsid w:val="001910A5"/>
    <w:rsid w:val="00191AC1"/>
    <w:rsid w:val="00192061"/>
    <w:rsid w:val="001938C6"/>
    <w:rsid w:val="0019418F"/>
    <w:rsid w:val="001A71C8"/>
    <w:rsid w:val="001B4B59"/>
    <w:rsid w:val="001B6FE9"/>
    <w:rsid w:val="001C57EA"/>
    <w:rsid w:val="001D21CE"/>
    <w:rsid w:val="001D3B7B"/>
    <w:rsid w:val="001D761D"/>
    <w:rsid w:val="001E0930"/>
    <w:rsid w:val="001E5293"/>
    <w:rsid w:val="00204EFA"/>
    <w:rsid w:val="00205139"/>
    <w:rsid w:val="0021471D"/>
    <w:rsid w:val="0023180B"/>
    <w:rsid w:val="00232C92"/>
    <w:rsid w:val="0024102E"/>
    <w:rsid w:val="00241D71"/>
    <w:rsid w:val="0025597A"/>
    <w:rsid w:val="00256E15"/>
    <w:rsid w:val="00263972"/>
    <w:rsid w:val="002739F5"/>
    <w:rsid w:val="002777C5"/>
    <w:rsid w:val="002855F0"/>
    <w:rsid w:val="0028729C"/>
    <w:rsid w:val="002935A6"/>
    <w:rsid w:val="00294F60"/>
    <w:rsid w:val="00296887"/>
    <w:rsid w:val="0029721A"/>
    <w:rsid w:val="002C74F0"/>
    <w:rsid w:val="002D3E1C"/>
    <w:rsid w:val="002E0A7B"/>
    <w:rsid w:val="002F2DAB"/>
    <w:rsid w:val="002F7539"/>
    <w:rsid w:val="00300C10"/>
    <w:rsid w:val="00301006"/>
    <w:rsid w:val="00306BC7"/>
    <w:rsid w:val="0031735F"/>
    <w:rsid w:val="00322843"/>
    <w:rsid w:val="0033128D"/>
    <w:rsid w:val="00335920"/>
    <w:rsid w:val="00335C6B"/>
    <w:rsid w:val="003433FF"/>
    <w:rsid w:val="00345114"/>
    <w:rsid w:val="0034687B"/>
    <w:rsid w:val="00346ECE"/>
    <w:rsid w:val="00352B31"/>
    <w:rsid w:val="00352C5C"/>
    <w:rsid w:val="003530C1"/>
    <w:rsid w:val="003562C6"/>
    <w:rsid w:val="00357660"/>
    <w:rsid w:val="00361FC6"/>
    <w:rsid w:val="00365C62"/>
    <w:rsid w:val="00366EFA"/>
    <w:rsid w:val="00367607"/>
    <w:rsid w:val="00373610"/>
    <w:rsid w:val="00373F4D"/>
    <w:rsid w:val="0037526C"/>
    <w:rsid w:val="00384D88"/>
    <w:rsid w:val="0039446C"/>
    <w:rsid w:val="003A1068"/>
    <w:rsid w:val="003B2E00"/>
    <w:rsid w:val="003C0639"/>
    <w:rsid w:val="003C2D54"/>
    <w:rsid w:val="00400BE7"/>
    <w:rsid w:val="004130BC"/>
    <w:rsid w:val="00414443"/>
    <w:rsid w:val="00415204"/>
    <w:rsid w:val="00415C44"/>
    <w:rsid w:val="00417EB8"/>
    <w:rsid w:val="004201C7"/>
    <w:rsid w:val="004237BC"/>
    <w:rsid w:val="0042513B"/>
    <w:rsid w:val="004660DC"/>
    <w:rsid w:val="0048206B"/>
    <w:rsid w:val="004901C7"/>
    <w:rsid w:val="004A1319"/>
    <w:rsid w:val="004A6832"/>
    <w:rsid w:val="004B11F0"/>
    <w:rsid w:val="004B2796"/>
    <w:rsid w:val="004B4BB3"/>
    <w:rsid w:val="004D11DA"/>
    <w:rsid w:val="004D47CA"/>
    <w:rsid w:val="004E7509"/>
    <w:rsid w:val="005017A1"/>
    <w:rsid w:val="00505DD6"/>
    <w:rsid w:val="00510E53"/>
    <w:rsid w:val="00537EDB"/>
    <w:rsid w:val="00541BFF"/>
    <w:rsid w:val="0054424A"/>
    <w:rsid w:val="005505B1"/>
    <w:rsid w:val="0056626D"/>
    <w:rsid w:val="00585308"/>
    <w:rsid w:val="00597246"/>
    <w:rsid w:val="005A20E8"/>
    <w:rsid w:val="005A27A7"/>
    <w:rsid w:val="005A5607"/>
    <w:rsid w:val="005B3CF7"/>
    <w:rsid w:val="005B57C1"/>
    <w:rsid w:val="005C3966"/>
    <w:rsid w:val="005C4E62"/>
    <w:rsid w:val="005D0C39"/>
    <w:rsid w:val="005D282E"/>
    <w:rsid w:val="005D551D"/>
    <w:rsid w:val="005E7C76"/>
    <w:rsid w:val="00600987"/>
    <w:rsid w:val="0060665F"/>
    <w:rsid w:val="006135F1"/>
    <w:rsid w:val="00617DD7"/>
    <w:rsid w:val="00625F08"/>
    <w:rsid w:val="00627A20"/>
    <w:rsid w:val="00652AFE"/>
    <w:rsid w:val="00657816"/>
    <w:rsid w:val="00674C5C"/>
    <w:rsid w:val="00683CFC"/>
    <w:rsid w:val="00691AD5"/>
    <w:rsid w:val="006A163F"/>
    <w:rsid w:val="006A5DA0"/>
    <w:rsid w:val="006A6024"/>
    <w:rsid w:val="006B2020"/>
    <w:rsid w:val="006C7471"/>
    <w:rsid w:val="006D13C8"/>
    <w:rsid w:val="006D2975"/>
    <w:rsid w:val="006D3423"/>
    <w:rsid w:val="006E74C3"/>
    <w:rsid w:val="006F0AD1"/>
    <w:rsid w:val="006F3FBF"/>
    <w:rsid w:val="006F4C37"/>
    <w:rsid w:val="006F7F14"/>
    <w:rsid w:val="007028D0"/>
    <w:rsid w:val="00711DDF"/>
    <w:rsid w:val="007227E5"/>
    <w:rsid w:val="00730764"/>
    <w:rsid w:val="0074595E"/>
    <w:rsid w:val="00753326"/>
    <w:rsid w:val="00766095"/>
    <w:rsid w:val="00766644"/>
    <w:rsid w:val="00774D17"/>
    <w:rsid w:val="007768ED"/>
    <w:rsid w:val="00777C0D"/>
    <w:rsid w:val="00794914"/>
    <w:rsid w:val="007A1127"/>
    <w:rsid w:val="007A46E3"/>
    <w:rsid w:val="007A6CC9"/>
    <w:rsid w:val="007B135D"/>
    <w:rsid w:val="007C2D5D"/>
    <w:rsid w:val="007F55BC"/>
    <w:rsid w:val="007F571C"/>
    <w:rsid w:val="00815CBA"/>
    <w:rsid w:val="00820933"/>
    <w:rsid w:val="008258BD"/>
    <w:rsid w:val="00830087"/>
    <w:rsid w:val="00842269"/>
    <w:rsid w:val="008572E5"/>
    <w:rsid w:val="00861236"/>
    <w:rsid w:val="00861FC0"/>
    <w:rsid w:val="00866ADB"/>
    <w:rsid w:val="00882435"/>
    <w:rsid w:val="0089684C"/>
    <w:rsid w:val="008B3DFC"/>
    <w:rsid w:val="008B4270"/>
    <w:rsid w:val="008B6514"/>
    <w:rsid w:val="008C3A7E"/>
    <w:rsid w:val="008D3DE2"/>
    <w:rsid w:val="008E05FC"/>
    <w:rsid w:val="008E614C"/>
    <w:rsid w:val="008E6C72"/>
    <w:rsid w:val="008F0152"/>
    <w:rsid w:val="008F1025"/>
    <w:rsid w:val="008F4576"/>
    <w:rsid w:val="008F7BC4"/>
    <w:rsid w:val="00902C63"/>
    <w:rsid w:val="00915306"/>
    <w:rsid w:val="00916697"/>
    <w:rsid w:val="00927A2C"/>
    <w:rsid w:val="00930F02"/>
    <w:rsid w:val="00934F66"/>
    <w:rsid w:val="00937CC7"/>
    <w:rsid w:val="00956993"/>
    <w:rsid w:val="00960481"/>
    <w:rsid w:val="00960A69"/>
    <w:rsid w:val="00964295"/>
    <w:rsid w:val="0096775F"/>
    <w:rsid w:val="00981171"/>
    <w:rsid w:val="00986224"/>
    <w:rsid w:val="00993B09"/>
    <w:rsid w:val="00994B00"/>
    <w:rsid w:val="009B62F9"/>
    <w:rsid w:val="009C2256"/>
    <w:rsid w:val="009C23A4"/>
    <w:rsid w:val="009D4C9C"/>
    <w:rsid w:val="009D6541"/>
    <w:rsid w:val="009D7337"/>
    <w:rsid w:val="009F60FD"/>
    <w:rsid w:val="009F6B4E"/>
    <w:rsid w:val="00A03556"/>
    <w:rsid w:val="00A075E5"/>
    <w:rsid w:val="00A107E5"/>
    <w:rsid w:val="00A147D7"/>
    <w:rsid w:val="00A16501"/>
    <w:rsid w:val="00A20A94"/>
    <w:rsid w:val="00A31E6D"/>
    <w:rsid w:val="00A41041"/>
    <w:rsid w:val="00A412D2"/>
    <w:rsid w:val="00A461F1"/>
    <w:rsid w:val="00A46AD7"/>
    <w:rsid w:val="00A51DD1"/>
    <w:rsid w:val="00A55DCA"/>
    <w:rsid w:val="00A55EFA"/>
    <w:rsid w:val="00A74B3E"/>
    <w:rsid w:val="00A75EBF"/>
    <w:rsid w:val="00A92FA4"/>
    <w:rsid w:val="00A943DC"/>
    <w:rsid w:val="00AA7D2F"/>
    <w:rsid w:val="00AB1720"/>
    <w:rsid w:val="00AB188A"/>
    <w:rsid w:val="00AB4B5F"/>
    <w:rsid w:val="00AB753F"/>
    <w:rsid w:val="00AC1835"/>
    <w:rsid w:val="00AC1A2E"/>
    <w:rsid w:val="00AC4B31"/>
    <w:rsid w:val="00AC6790"/>
    <w:rsid w:val="00AE3291"/>
    <w:rsid w:val="00AE5902"/>
    <w:rsid w:val="00AE7163"/>
    <w:rsid w:val="00AF4504"/>
    <w:rsid w:val="00AF6422"/>
    <w:rsid w:val="00AF7241"/>
    <w:rsid w:val="00B01733"/>
    <w:rsid w:val="00B10C6F"/>
    <w:rsid w:val="00B220AF"/>
    <w:rsid w:val="00B23D32"/>
    <w:rsid w:val="00B31C67"/>
    <w:rsid w:val="00B37124"/>
    <w:rsid w:val="00B444D0"/>
    <w:rsid w:val="00B51B35"/>
    <w:rsid w:val="00B53A23"/>
    <w:rsid w:val="00B53E1F"/>
    <w:rsid w:val="00B57BCE"/>
    <w:rsid w:val="00B64B00"/>
    <w:rsid w:val="00B65D3B"/>
    <w:rsid w:val="00B676DA"/>
    <w:rsid w:val="00B7033E"/>
    <w:rsid w:val="00B71E08"/>
    <w:rsid w:val="00B810F6"/>
    <w:rsid w:val="00B81353"/>
    <w:rsid w:val="00B82735"/>
    <w:rsid w:val="00B854A1"/>
    <w:rsid w:val="00B90478"/>
    <w:rsid w:val="00B9346A"/>
    <w:rsid w:val="00B96AF9"/>
    <w:rsid w:val="00BA10BA"/>
    <w:rsid w:val="00BA3FBD"/>
    <w:rsid w:val="00BB332B"/>
    <w:rsid w:val="00BB587C"/>
    <w:rsid w:val="00BD76AE"/>
    <w:rsid w:val="00BE6044"/>
    <w:rsid w:val="00BE74C4"/>
    <w:rsid w:val="00BF7F60"/>
    <w:rsid w:val="00C03FD8"/>
    <w:rsid w:val="00C20E6D"/>
    <w:rsid w:val="00C223E4"/>
    <w:rsid w:val="00C4060D"/>
    <w:rsid w:val="00C4151E"/>
    <w:rsid w:val="00C43FD9"/>
    <w:rsid w:val="00C44D4E"/>
    <w:rsid w:val="00C45BCD"/>
    <w:rsid w:val="00C54E6D"/>
    <w:rsid w:val="00C55956"/>
    <w:rsid w:val="00C60754"/>
    <w:rsid w:val="00C614A6"/>
    <w:rsid w:val="00C63C16"/>
    <w:rsid w:val="00C6413D"/>
    <w:rsid w:val="00C66D53"/>
    <w:rsid w:val="00C74A88"/>
    <w:rsid w:val="00C8176B"/>
    <w:rsid w:val="00C83090"/>
    <w:rsid w:val="00C83AC5"/>
    <w:rsid w:val="00C873E0"/>
    <w:rsid w:val="00C916B4"/>
    <w:rsid w:val="00CB00EF"/>
    <w:rsid w:val="00CC1568"/>
    <w:rsid w:val="00CC1A80"/>
    <w:rsid w:val="00CC5850"/>
    <w:rsid w:val="00CC75AB"/>
    <w:rsid w:val="00CD2F70"/>
    <w:rsid w:val="00CD7673"/>
    <w:rsid w:val="00CD7F5E"/>
    <w:rsid w:val="00CF694A"/>
    <w:rsid w:val="00D0155B"/>
    <w:rsid w:val="00D02F26"/>
    <w:rsid w:val="00D040D9"/>
    <w:rsid w:val="00D04D94"/>
    <w:rsid w:val="00D06543"/>
    <w:rsid w:val="00D10364"/>
    <w:rsid w:val="00D20260"/>
    <w:rsid w:val="00D31B2C"/>
    <w:rsid w:val="00D32128"/>
    <w:rsid w:val="00D349BA"/>
    <w:rsid w:val="00D4762C"/>
    <w:rsid w:val="00D50F98"/>
    <w:rsid w:val="00D703B6"/>
    <w:rsid w:val="00D727A1"/>
    <w:rsid w:val="00D839C7"/>
    <w:rsid w:val="00D84DA4"/>
    <w:rsid w:val="00D853EB"/>
    <w:rsid w:val="00D9109A"/>
    <w:rsid w:val="00D93FE3"/>
    <w:rsid w:val="00D970B4"/>
    <w:rsid w:val="00DA0133"/>
    <w:rsid w:val="00DA627C"/>
    <w:rsid w:val="00DA6CA7"/>
    <w:rsid w:val="00DB0379"/>
    <w:rsid w:val="00DB4151"/>
    <w:rsid w:val="00DB47BC"/>
    <w:rsid w:val="00DC6059"/>
    <w:rsid w:val="00DD22F9"/>
    <w:rsid w:val="00DD4400"/>
    <w:rsid w:val="00DD50A3"/>
    <w:rsid w:val="00DD5B30"/>
    <w:rsid w:val="00DE45DC"/>
    <w:rsid w:val="00DE56C9"/>
    <w:rsid w:val="00E001F9"/>
    <w:rsid w:val="00E06E57"/>
    <w:rsid w:val="00E20AB7"/>
    <w:rsid w:val="00E22250"/>
    <w:rsid w:val="00E24C19"/>
    <w:rsid w:val="00E5013B"/>
    <w:rsid w:val="00E504C1"/>
    <w:rsid w:val="00E50F30"/>
    <w:rsid w:val="00E54C53"/>
    <w:rsid w:val="00E54E6F"/>
    <w:rsid w:val="00E55751"/>
    <w:rsid w:val="00E60D48"/>
    <w:rsid w:val="00E61336"/>
    <w:rsid w:val="00E71413"/>
    <w:rsid w:val="00E71A11"/>
    <w:rsid w:val="00E76C70"/>
    <w:rsid w:val="00E8630B"/>
    <w:rsid w:val="00E92549"/>
    <w:rsid w:val="00E936FB"/>
    <w:rsid w:val="00EA1758"/>
    <w:rsid w:val="00EA4E28"/>
    <w:rsid w:val="00EA6511"/>
    <w:rsid w:val="00EB0DD0"/>
    <w:rsid w:val="00EB7672"/>
    <w:rsid w:val="00EC11CB"/>
    <w:rsid w:val="00ED0190"/>
    <w:rsid w:val="00ED39FB"/>
    <w:rsid w:val="00EF0967"/>
    <w:rsid w:val="00EF111E"/>
    <w:rsid w:val="00EF48C5"/>
    <w:rsid w:val="00EF4BAB"/>
    <w:rsid w:val="00F021F1"/>
    <w:rsid w:val="00F1145B"/>
    <w:rsid w:val="00F1504E"/>
    <w:rsid w:val="00F205FE"/>
    <w:rsid w:val="00F23D73"/>
    <w:rsid w:val="00F26FC2"/>
    <w:rsid w:val="00F31A98"/>
    <w:rsid w:val="00F360D1"/>
    <w:rsid w:val="00F36C34"/>
    <w:rsid w:val="00F370D7"/>
    <w:rsid w:val="00F375E5"/>
    <w:rsid w:val="00F3762F"/>
    <w:rsid w:val="00F436A6"/>
    <w:rsid w:val="00F448AE"/>
    <w:rsid w:val="00F67C9A"/>
    <w:rsid w:val="00F70597"/>
    <w:rsid w:val="00F749C1"/>
    <w:rsid w:val="00F82A03"/>
    <w:rsid w:val="00F9555E"/>
    <w:rsid w:val="00FA7B2F"/>
    <w:rsid w:val="00FB0E5B"/>
    <w:rsid w:val="00FB7B50"/>
    <w:rsid w:val="00FC0FF4"/>
    <w:rsid w:val="00FC4481"/>
    <w:rsid w:val="00FD2B90"/>
    <w:rsid w:val="00FE2253"/>
    <w:rsid w:val="00FE4768"/>
    <w:rsid w:val="00FE7D76"/>
    <w:rsid w:val="00FF73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B0C9C"/>
  <w15:docId w15:val="{C032D297-5B54-4C08-85C4-AE6FB8F2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8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Char Char Char Char Char Char Char Char Char Char Char"/>
    <w:basedOn w:val="Normal"/>
    <w:link w:val="NormalWebChar"/>
    <w:uiPriority w:val="99"/>
    <w:rsid w:val="0033128D"/>
    <w:pPr>
      <w:spacing w:before="100" w:beforeAutospacing="1" w:after="100" w:afterAutospacing="1" w:line="240" w:lineRule="auto"/>
      <w:jc w:val="left"/>
    </w:pPr>
    <w:rPr>
      <w:rFonts w:eastAsia="Calibri"/>
      <w:sz w:val="24"/>
      <w:szCs w:val="24"/>
    </w:rPr>
  </w:style>
  <w:style w:type="character" w:customStyle="1" w:styleId="NormalWebChar">
    <w:name w:val="Normal (Web) Char"/>
    <w:aliases w:val="Char Char Char Char Char Char Char Char Char Char Char1,Char Char Char Char Char Char Char Char Char Char Char Char"/>
    <w:link w:val="NormalWeb"/>
    <w:rsid w:val="0033128D"/>
    <w:rPr>
      <w:rFonts w:eastAsia="Calibri"/>
      <w:sz w:val="24"/>
      <w:szCs w:val="24"/>
    </w:rPr>
  </w:style>
  <w:style w:type="paragraph" w:styleId="Header">
    <w:name w:val="header"/>
    <w:basedOn w:val="Normal"/>
    <w:link w:val="HeaderChar"/>
    <w:uiPriority w:val="99"/>
    <w:unhideWhenUsed/>
    <w:rsid w:val="00400BE7"/>
    <w:pPr>
      <w:tabs>
        <w:tab w:val="center" w:pos="4680"/>
        <w:tab w:val="right" w:pos="9360"/>
      </w:tabs>
      <w:spacing w:line="240" w:lineRule="auto"/>
    </w:pPr>
  </w:style>
  <w:style w:type="character" w:customStyle="1" w:styleId="HeaderChar">
    <w:name w:val="Header Char"/>
    <w:basedOn w:val="DefaultParagraphFont"/>
    <w:link w:val="Header"/>
    <w:uiPriority w:val="99"/>
    <w:rsid w:val="00400BE7"/>
  </w:style>
  <w:style w:type="paragraph" w:styleId="Footer">
    <w:name w:val="footer"/>
    <w:basedOn w:val="Normal"/>
    <w:link w:val="FooterChar"/>
    <w:uiPriority w:val="99"/>
    <w:unhideWhenUsed/>
    <w:rsid w:val="00400BE7"/>
    <w:pPr>
      <w:tabs>
        <w:tab w:val="center" w:pos="4680"/>
        <w:tab w:val="right" w:pos="9360"/>
      </w:tabs>
      <w:spacing w:line="240" w:lineRule="auto"/>
    </w:pPr>
  </w:style>
  <w:style w:type="character" w:customStyle="1" w:styleId="FooterChar">
    <w:name w:val="Footer Char"/>
    <w:basedOn w:val="DefaultParagraphFont"/>
    <w:link w:val="Footer"/>
    <w:uiPriority w:val="99"/>
    <w:rsid w:val="00400BE7"/>
  </w:style>
  <w:style w:type="paragraph" w:styleId="ListParagraph">
    <w:name w:val="List Paragraph"/>
    <w:basedOn w:val="Normal"/>
    <w:uiPriority w:val="34"/>
    <w:qFormat/>
    <w:rsid w:val="00ED39FB"/>
    <w:pPr>
      <w:widowControl w:val="0"/>
      <w:autoSpaceDE w:val="0"/>
      <w:autoSpaceDN w:val="0"/>
      <w:spacing w:before="120" w:line="240" w:lineRule="auto"/>
      <w:ind w:left="308" w:firstLine="719"/>
      <w:jc w:val="both"/>
    </w:pPr>
    <w:rPr>
      <w:rFonts w:eastAsia="Times New Roman"/>
      <w:sz w:val="22"/>
      <w:szCs w:val="22"/>
    </w:rPr>
  </w:style>
  <w:style w:type="paragraph" w:styleId="BodyText">
    <w:name w:val="Body Text"/>
    <w:basedOn w:val="Normal"/>
    <w:link w:val="BodyTextChar"/>
    <w:qFormat/>
    <w:rsid w:val="006F4C37"/>
    <w:pPr>
      <w:spacing w:after="120" w:line="240" w:lineRule="auto"/>
      <w:jc w:val="left"/>
    </w:pPr>
    <w:rPr>
      <w:rFonts w:eastAsia="Times New Roman"/>
      <w:sz w:val="24"/>
      <w:szCs w:val="24"/>
    </w:rPr>
  </w:style>
  <w:style w:type="character" w:customStyle="1" w:styleId="BodyTextChar">
    <w:name w:val="Body Text Char"/>
    <w:basedOn w:val="DefaultParagraphFont"/>
    <w:link w:val="BodyText"/>
    <w:rsid w:val="006F4C37"/>
    <w:rPr>
      <w:rFonts w:eastAsia="Times New Roman"/>
      <w:sz w:val="24"/>
      <w:szCs w:val="24"/>
      <w:lang w:val="en-US"/>
    </w:rPr>
  </w:style>
  <w:style w:type="character" w:customStyle="1" w:styleId="BodyTextChar1">
    <w:name w:val="Body Text Char1"/>
    <w:uiPriority w:val="99"/>
    <w:rsid w:val="006F4C37"/>
    <w:rPr>
      <w:rFonts w:ascii="Times New Roman" w:hAnsi="Times New Roman" w:cs="Times New Roman"/>
      <w:sz w:val="26"/>
      <w:szCs w:val="26"/>
      <w:u w:val="none"/>
    </w:rPr>
  </w:style>
  <w:style w:type="character" w:styleId="Hyperlink">
    <w:name w:val="Hyperlink"/>
    <w:uiPriority w:val="99"/>
    <w:unhideWhenUsed/>
    <w:rsid w:val="00345114"/>
    <w:rPr>
      <w:color w:val="0000FF"/>
      <w:u w:val="single"/>
    </w:rPr>
  </w:style>
  <w:style w:type="character" w:customStyle="1" w:styleId="apple-converted-space">
    <w:name w:val="apple-converted-space"/>
    <w:basedOn w:val="DefaultParagraphFont"/>
    <w:rsid w:val="005B3CF7"/>
  </w:style>
  <w:style w:type="paragraph" w:styleId="BalloonText">
    <w:name w:val="Balloon Text"/>
    <w:basedOn w:val="Normal"/>
    <w:link w:val="BalloonTextChar"/>
    <w:uiPriority w:val="99"/>
    <w:semiHidden/>
    <w:unhideWhenUsed/>
    <w:rsid w:val="00D02F2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F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39458">
      <w:bodyDiv w:val="1"/>
      <w:marLeft w:val="0"/>
      <w:marRight w:val="0"/>
      <w:marTop w:val="0"/>
      <w:marBottom w:val="0"/>
      <w:divBdr>
        <w:top w:val="none" w:sz="0" w:space="0" w:color="auto"/>
        <w:left w:val="none" w:sz="0" w:space="0" w:color="auto"/>
        <w:bottom w:val="none" w:sz="0" w:space="0" w:color="auto"/>
        <w:right w:val="none" w:sz="0" w:space="0" w:color="auto"/>
      </w:divBdr>
    </w:div>
    <w:div w:id="789663058">
      <w:bodyDiv w:val="1"/>
      <w:marLeft w:val="0"/>
      <w:marRight w:val="0"/>
      <w:marTop w:val="0"/>
      <w:marBottom w:val="0"/>
      <w:divBdr>
        <w:top w:val="none" w:sz="0" w:space="0" w:color="auto"/>
        <w:left w:val="none" w:sz="0" w:space="0" w:color="auto"/>
        <w:bottom w:val="none" w:sz="0" w:space="0" w:color="auto"/>
        <w:right w:val="none" w:sz="0" w:space="0" w:color="auto"/>
      </w:divBdr>
    </w:div>
    <w:div w:id="1900705069">
      <w:bodyDiv w:val="1"/>
      <w:marLeft w:val="0"/>
      <w:marRight w:val="0"/>
      <w:marTop w:val="0"/>
      <w:marBottom w:val="0"/>
      <w:divBdr>
        <w:top w:val="none" w:sz="0" w:space="0" w:color="auto"/>
        <w:left w:val="none" w:sz="0" w:space="0" w:color="auto"/>
        <w:bottom w:val="none" w:sz="0" w:space="0" w:color="auto"/>
        <w:right w:val="none" w:sz="0" w:space="0" w:color="auto"/>
      </w:divBdr>
    </w:div>
    <w:div w:id="200824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quyet-dinh-12-2019-qd-ttg-sua-doi-quyet-dinh-72-2010-qd-ttg-xuc-tien-thuong-mai-quoc-gia-408127.aspx"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thuvienphapluat.vn/van-ban/thuong-mai/nghi-dinh-28-2018-nd-cp-huong-dan-luat-quan-ly-ngoai-thuong-ve-bien-phap-phat-trien-ngoai-thuong-376024.aspx" TargetMode="External"/><Relationship Id="rId12" Type="http://schemas.openxmlformats.org/officeDocument/2006/relationships/header" Target="head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uvienphapluat.vn/van-ban/thuong-mai/thong-tu-171-2014-tt-btc-ho-tro-tai-chinh-xuc-tien-thuong-mai-quoc-gia-257967.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huvienphapluat.vn/van-ban/thuong-mai/thong-tu-11-2019-tt-bct-xuc-tien-thuong-mai-phat-trien-ngoai-thuong-chuong-trinh-cap-quoc-gia-420673.aspx"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thuvienphapluat.vn/van-ban/thuong-mai/thong-tu-11-2019-tt-bct-xuc-tien-thuong-mai-phat-trien-ngoai-thuong-chuong-trinh-cap-quoc-gia-420673.asp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25A548-73CC-49BB-8D71-1994B6195193}"/>
</file>

<file path=customXml/itemProps2.xml><?xml version="1.0" encoding="utf-8"?>
<ds:datastoreItem xmlns:ds="http://schemas.openxmlformats.org/officeDocument/2006/customXml" ds:itemID="{BAE0C9FD-AC3E-439E-A18A-2EACD29507CE}"/>
</file>

<file path=customXml/itemProps3.xml><?xml version="1.0" encoding="utf-8"?>
<ds:datastoreItem xmlns:ds="http://schemas.openxmlformats.org/officeDocument/2006/customXml" ds:itemID="{2A468617-6538-4A8E-B65F-285FA677956C}"/>
</file>

<file path=docProps/app.xml><?xml version="1.0" encoding="utf-8"?>
<Properties xmlns="http://schemas.openxmlformats.org/officeDocument/2006/extended-properties" xmlns:vt="http://schemas.openxmlformats.org/officeDocument/2006/docPropsVTypes">
  <Template>Normal</Template>
  <TotalTime>3</TotalTime>
  <Pages>4</Pages>
  <Words>1450</Words>
  <Characters>8266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www.phuongcloudit.com</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TTD</dc:creator>
  <cp:lastModifiedBy>Admin</cp:lastModifiedBy>
  <cp:revision>3</cp:revision>
  <cp:lastPrinted>2024-10-16T07:22:00Z</cp:lastPrinted>
  <dcterms:created xsi:type="dcterms:W3CDTF">2024-12-06T02:59:00Z</dcterms:created>
  <dcterms:modified xsi:type="dcterms:W3CDTF">2024-12-06T03:04:00Z</dcterms:modified>
</cp:coreProperties>
</file>