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92"/>
        <w:ind w:left="0" w:right="0"/>
      </w:pPr>
    </w:p>
    <w:p>
      <w:pPr>
        <w:sectPr>
          <w:pgSz w:w="11906" w:h="16841"/>
          <w:pgMar w:top="612" w:right="736" w:bottom="572" w:left="1424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9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6"/>
        </w:rPr>
        <w:t xml:space="preserve">BỘ THÔNG TIN VÀ TRUYỀN THÔNG </w:t>
      </w:r>
    </w:p>
    <w:p>
      <w:pPr>
        <w:sectPr>
          <w:type w:val="continuous"/>
          <w:pgSz w:w="11906" w:h="16841"/>
          <w:pgMar w:top="612" w:right="736" w:bottom="572" w:left="1424" w:header="720" w:footer="720" w:gutter="0"/>
          <w:cols w:num="2" w:equalWidth="0">
            <w:col w:w="4564" w:space="0"/>
            <w:col w:w="5182" w:space="0"/>
          </w:cols>
          <w:docGrid w:linePitch="360"/>
        </w:sectPr>
      </w:pPr>
    </w:p>
    <w:p>
      <w:pPr>
        <w:autoSpaceDN w:val="0"/>
        <w:autoSpaceDE w:val="0"/>
        <w:widowControl/>
        <w:spacing w:line="264" w:lineRule="auto" w:before="0" w:after="90"/>
        <w:ind w:left="144" w:right="0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6"/>
        </w:rPr>
        <w:t xml:space="preserve">CỘNG HÒA XÃ HỘI CHỦ NGHĨA VIỆT NAM </w:t>
      </w:r>
      <w:r>
        <w:rPr>
          <w:rFonts w:ascii="Times New Roman" w:hAnsi="Times New Roman" w:eastAsia="Times New Roman"/>
          <w:b/>
          <w:i w:val="0"/>
          <w:color w:val="000000"/>
          <w:sz w:val="28"/>
        </w:rPr>
        <w:t xml:space="preserve">Độc lập - Tự do - Hạnh phúc </w:t>
      </w:r>
    </w:p>
    <w:p>
      <w:pPr>
        <w:sectPr>
          <w:type w:val="nextColumn"/>
          <w:pgSz w:w="11906" w:h="16841"/>
          <w:pgMar w:top="612" w:right="736" w:bottom="572" w:left="1424" w:header="720" w:footer="720" w:gutter="0"/>
          <w:cols w:num="2" w:equalWidth="0">
            <w:col w:w="4564" w:space="0"/>
            <w:col w:w="5182" w:space="0"/>
          </w:cols>
          <w:docGrid w:linePitch="360"/>
        </w:sectPr>
      </w:pPr>
    </w:p>
    <w:p>
      <w:pPr>
        <w:autoSpaceDN w:val="0"/>
        <w:autoSpaceDE w:val="0"/>
        <w:widowControl/>
        <w:spacing w:line="374" w:lineRule="exact" w:before="0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 Số:       /2024/TT-BTTTT                          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Hà Nội, ngày      tháng      năm 2024 </w:t>
      </w:r>
    </w:p>
    <w:p>
      <w:pPr>
        <w:autoSpaceDN w:val="0"/>
        <w:autoSpaceDE w:val="0"/>
        <w:widowControl/>
        <w:spacing w:line="290" w:lineRule="auto" w:before="316" w:after="0"/>
        <w:ind w:left="0" w:right="0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8"/>
        </w:rPr>
        <w:t xml:space="preserve">THÔNG TƯ </w:t>
      </w:r>
    </w:p>
    <w:p>
      <w:pPr>
        <w:autoSpaceDN w:val="0"/>
        <w:autoSpaceDE w:val="0"/>
        <w:widowControl/>
        <w:spacing w:line="276" w:lineRule="auto" w:before="84" w:after="0"/>
        <w:ind w:left="576" w:right="576" w:firstLine="0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8"/>
        </w:rPr>
        <w:t xml:space="preserve">Ban hành “Quy chuẩn kỹ thuật quốc gia về thiết bị camera giám sát sử </w:t>
      </w:r>
      <w:r>
        <w:rPr>
          <w:rFonts w:ascii="Times New Roman" w:hAnsi="Times New Roman" w:eastAsia="Times New Roman"/>
          <w:b/>
          <w:i w:val="0"/>
          <w:color w:val="000000"/>
          <w:sz w:val="28"/>
        </w:rPr>
        <w:t xml:space="preserve">dụng giao thức Internet - Các yêu cầu an toàn thông tin cơ bản” </w:t>
      </w:r>
    </w:p>
    <w:p>
      <w:pPr>
        <w:autoSpaceDN w:val="0"/>
        <w:autoSpaceDE w:val="0"/>
        <w:widowControl/>
        <w:spacing w:line="240" w:lineRule="auto" w:before="14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1816100" cy="127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2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54" w:lineRule="auto" w:before="180" w:after="0"/>
        <w:ind w:left="998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Căn cứ Luật Tiêu chuẩn và Quy chuẩn kỹ thuật ngày 29 tháng 6 năm 2006; </w:t>
      </w:r>
    </w:p>
    <w:p>
      <w:pPr>
        <w:autoSpaceDN w:val="0"/>
        <w:autoSpaceDE w:val="0"/>
        <w:widowControl/>
        <w:spacing w:line="257" w:lineRule="auto" w:before="130" w:after="0"/>
        <w:ind w:left="998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>Căn cứ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hyperlink r:id="rId10" w:history="1">
          <w:r>
            <w:rPr>
              <w:rStyle w:val="Hyperlink"/>
            </w:rPr>
            <w:t xml:space="preserve"> Luật An toàn thông tin mạng </w:t>
          </w:r>
        </w:hyperlink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ngày 19 tháng 11 năm 2015; </w:t>
      </w:r>
    </w:p>
    <w:p>
      <w:pPr>
        <w:autoSpaceDN w:val="0"/>
        <w:autoSpaceDE w:val="0"/>
        <w:widowControl/>
        <w:spacing w:line="262" w:lineRule="auto" w:before="132" w:after="0"/>
        <w:ind w:left="278" w:right="324" w:firstLine="720"/>
        <w:jc w:val="both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Căn cứ Nghị định số 127/2007/NĐ-CP ngày 01 tháng 8 năm 2007 của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Chính phủ quy định chi tiết và hướng dẫn thi hành một số điều của Luật Tiêu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chuẩn và Quy chuẩn kỹ thuật; </w:t>
      </w:r>
    </w:p>
    <w:p>
      <w:pPr>
        <w:autoSpaceDN w:val="0"/>
        <w:autoSpaceDE w:val="0"/>
        <w:widowControl/>
        <w:spacing w:line="262" w:lineRule="auto" w:before="132" w:after="0"/>
        <w:ind w:left="278" w:right="324" w:firstLine="720"/>
        <w:jc w:val="both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Căn cứ Nghị định số 78/2018/NĐ-CP ngày 16 tháng 5 năm 2018 của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>Chính phủ sửa đổi, bổ sung một số điều của Nghị định số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hyperlink r:id="rId11" w:history="1">
          <w:r>
            <w:rPr>
              <w:rStyle w:val="Hyperlink"/>
            </w:rPr>
            <w:t xml:space="preserve"> 127/2007/NĐ-CP </w:t>
          </w:r>
        </w:hyperlink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>ngày 01 tháng 8 năm 2007 của Chính phủ quy định chi tiết thi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hyperlink r:id="rId11" w:history="1">
          <w:r>
            <w:rPr>
              <w:rStyle w:val="Hyperlink"/>
            </w:rPr>
            <w:t xml:space="preserve"> hành một số </w:t>
          </w:r>
        </w:hyperlink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điều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Luật Tiêu chuẩn và Quy chuẩn kỹ thuật; </w:t>
      </w:r>
    </w:p>
    <w:p>
      <w:pPr>
        <w:autoSpaceDN w:val="0"/>
        <w:autoSpaceDE w:val="0"/>
        <w:widowControl/>
        <w:spacing w:line="259" w:lineRule="auto" w:before="132" w:after="0"/>
        <w:ind w:left="278" w:right="324" w:firstLine="720"/>
        <w:jc w:val="both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Căn cứ Nghị định số 48/2022/NĐ-CP ngày 26 tháng 7 năm 2022 của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Chính phủ quy định chức năng, nhiệm vụ, quyền hạn và cơ cấu tổ chức của Bộ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Thông tin và Truyền thông; </w:t>
      </w:r>
    </w:p>
    <w:p>
      <w:pPr>
        <w:autoSpaceDN w:val="0"/>
        <w:autoSpaceDE w:val="0"/>
        <w:widowControl/>
        <w:spacing w:line="254" w:lineRule="auto" w:before="134" w:after="0"/>
        <w:ind w:left="998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Theo đề nghị của Vụ trưởng Vụ Khoa học và Công nghệ, </w:t>
      </w:r>
    </w:p>
    <w:p>
      <w:pPr>
        <w:autoSpaceDN w:val="0"/>
        <w:autoSpaceDE w:val="0"/>
        <w:widowControl/>
        <w:spacing w:line="259" w:lineRule="auto" w:before="130" w:after="0"/>
        <w:ind w:left="278" w:right="324" w:firstLine="720"/>
        <w:jc w:val="both"/>
      </w:pP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Bộ trưởng Bộ Thông tin và Truyền thông ban hành Thông tư quy định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Quy chuẩn kỹ thuật quốc gia về thiết bị camera giám sát sử dụng giao thức </w:t>
      </w:r>
      <w:r>
        <w:rPr>
          <w:rFonts w:ascii="Times New Roman" w:hAnsi="Times New Roman" w:eastAsia="Times New Roman"/>
          <w:b w:val="0"/>
          <w:i/>
          <w:color w:val="000000"/>
          <w:sz w:val="28"/>
        </w:rPr>
        <w:t xml:space="preserve">Internet - Các yêu cầu an toàn thông tin cơ bản. </w:t>
      </w:r>
    </w:p>
    <w:p>
      <w:pPr>
        <w:autoSpaceDN w:val="0"/>
        <w:autoSpaceDE w:val="0"/>
        <w:widowControl/>
        <w:spacing w:line="346" w:lineRule="exact" w:before="452" w:after="0"/>
        <w:ind w:left="278" w:right="324" w:firstLine="720"/>
        <w:jc w:val="both"/>
      </w:pPr>
      <w:r>
        <w:rPr>
          <w:rFonts w:ascii="Times New Roman" w:hAnsi="Times New Roman" w:eastAsia="Times New Roman"/>
          <w:b/>
          <w:i w:val="0"/>
          <w:color w:val="000000"/>
          <w:sz w:val="28"/>
        </w:rPr>
        <w:t>Điều 1.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Ban hành kèm theo Thông tư này Quy chuẩn kỹ thuật quốc gia về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thiết bị camera giám sát sử dụng giao thức Internet - Các yêu đảm an toàn thông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tin cơ bản (QCVN 135:2024/BTTTT). </w:t>
      </w:r>
    </w:p>
    <w:p>
      <w:pPr>
        <w:autoSpaceDN w:val="0"/>
        <w:autoSpaceDE w:val="0"/>
        <w:widowControl/>
        <w:spacing w:line="288" w:lineRule="auto" w:before="106" w:after="0"/>
        <w:ind w:left="998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8"/>
        </w:rPr>
        <w:t xml:space="preserve">Điều 2. Hiệu lực thi hành </w:t>
      </w:r>
    </w:p>
    <w:p>
      <w:pPr>
        <w:autoSpaceDN w:val="0"/>
        <w:autoSpaceDE w:val="0"/>
        <w:widowControl/>
        <w:spacing w:line="374" w:lineRule="exact" w:before="80" w:after="0"/>
        <w:ind w:left="0" w:right="0" w:firstLine="0"/>
        <w:jc w:val="center"/>
      </w:pP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Thông tư này có hiệu lực thi hành kể từ ngày 15 tháng 02 năm 2025. </w:t>
      </w:r>
    </w:p>
    <w:p>
      <w:pPr>
        <w:autoSpaceDN w:val="0"/>
        <w:autoSpaceDE w:val="0"/>
        <w:widowControl/>
        <w:spacing w:line="288" w:lineRule="auto" w:before="106" w:after="0"/>
        <w:ind w:left="998" w:right="0" w:firstLine="0"/>
        <w:jc w:val="left"/>
      </w:pPr>
      <w:r>
        <w:rPr>
          <w:rFonts w:ascii="Times New Roman" w:hAnsi="Times New Roman" w:eastAsia="Times New Roman"/>
          <w:b/>
          <w:i w:val="0"/>
          <w:color w:val="3C3C3C"/>
          <w:sz w:val="28"/>
        </w:rPr>
        <w:t xml:space="preserve">Điều 3. Lộ trình áp dụng </w:t>
      </w:r>
    </w:p>
    <w:p>
      <w:pPr>
        <w:autoSpaceDN w:val="0"/>
        <w:autoSpaceDE w:val="0"/>
        <w:widowControl/>
        <w:spacing w:line="354" w:lineRule="exact" w:before="118" w:after="0"/>
        <w:ind w:left="278" w:right="324" w:firstLine="72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1. Kể từ ngày 01 tháng 01 năm 2026, thiết bị camera giám sát sử dụng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giao thức Internet nhập khẩu và sản xuất trong nước phải đáp ứng các quy định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tại QCVN 135:2024/BTTTT. </w:t>
      </w:r>
    </w:p>
    <w:p>
      <w:pPr>
        <w:autoSpaceDN w:val="0"/>
        <w:tabs>
          <w:tab w:pos="998" w:val="left"/>
        </w:tabs>
        <w:autoSpaceDE w:val="0"/>
        <w:widowControl/>
        <w:spacing w:line="356" w:lineRule="exact" w:before="116" w:after="0"/>
        <w:ind w:left="278" w:right="288" w:firstLine="0"/>
        <w:jc w:val="left"/>
      </w:pPr>
      <w:r>
        <w:tab/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2. Kể từ ngày 15 tháng 02 năm 2025, QCVN 135:2024/BTTTT được áp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dụng trong thử nghiệm, chứng nhận hợp quy, công bố hợp quy. </w:t>
      </w:r>
    </w:p>
    <w:p>
      <w:pPr>
        <w:sectPr>
          <w:type w:val="continuous"/>
          <w:pgSz w:w="11906" w:h="16841"/>
          <w:pgMar w:top="612" w:right="736" w:bottom="572" w:left="1424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0"/>
        <w:ind w:left="0" w:right="0"/>
      </w:pPr>
    </w:p>
    <w:p>
      <w:pPr>
        <w:autoSpaceDN w:val="0"/>
        <w:autoSpaceDE w:val="0"/>
        <w:widowControl/>
        <w:spacing w:line="320" w:lineRule="exact" w:before="0" w:after="0"/>
        <w:ind w:left="0" w:right="4506" w:firstLine="0"/>
        <w:jc w:val="right"/>
      </w:pPr>
      <w:r>
        <w:rPr>
          <w:rFonts w:ascii="TimesNewRomanPSMT" w:hAnsi="TimesNewRomanPSMT" w:eastAsia="TimesNewRomanPSMT"/>
          <w:b w:val="0"/>
          <w:i w:val="0"/>
          <w:color w:val="000000"/>
          <w:sz w:val="24"/>
        </w:rPr>
        <w:t xml:space="preserve">2 </w:t>
      </w:r>
    </w:p>
    <w:p>
      <w:pPr>
        <w:autoSpaceDN w:val="0"/>
        <w:autoSpaceDE w:val="0"/>
        <w:widowControl/>
        <w:spacing w:line="290" w:lineRule="auto" w:before="136" w:after="0"/>
        <w:ind w:left="98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8"/>
        </w:rPr>
        <w:t>Điều 4.</w:t>
      </w:r>
      <w:r>
        <w:rPr>
          <w:rFonts w:ascii="Times New Roman" w:hAnsi="Times New Roman" w:eastAsia="Times New Roman"/>
          <w:b/>
          <w:i w:val="0"/>
          <w:color w:val="000000"/>
          <w:sz w:val="28"/>
        </w:rPr>
        <w:t>Tổ chức thực hiện</w:t>
      </w:r>
    </w:p>
    <w:p>
      <w:pPr>
        <w:autoSpaceDN w:val="0"/>
        <w:autoSpaceDE w:val="0"/>
        <w:widowControl/>
        <w:spacing w:line="354" w:lineRule="exact" w:before="100" w:after="56"/>
        <w:ind w:left="262" w:right="20" w:firstLine="720"/>
        <w:jc w:val="both"/>
      </w:pP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Chánh Văn phòng, Vụ trưởng Vụ Khoa học và Công nghệ, Thủ trưởng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các cơ quan, đơn vị thuộc Bộ Thông tin và Truyền thông, Giám đốc Sở Thông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tin và Truyền thông các tỉnh, thành phố trực thuộc Trung ương và các tổ chức, </w:t>
      </w:r>
      <w:r>
        <w:rPr>
          <w:rFonts w:ascii="TimesNewRomanPSMT" w:hAnsi="TimesNewRomanPSMT" w:eastAsia="TimesNewRomanPSMT"/>
          <w:b w:val="0"/>
          <w:i w:val="0"/>
          <w:color w:val="000000"/>
          <w:sz w:val="28"/>
        </w:rPr>
        <w:t xml:space="preserve">cá nhân có liên quan chịu trách nhiệm thi hành Thông tư này./.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0.0" w:type="dxa"/>
      </w:tblPr>
      <w:tblGrid>
        <w:gridCol w:w="4713"/>
        <w:gridCol w:w="4713"/>
      </w:tblGrid>
      <w:tr>
        <w:trPr>
          <w:trHeight w:hRule="exact" w:val="2684"/>
        </w:trPr>
        <w:tc>
          <w:tcPr>
            <w:tcW w:type="dxa" w:w="65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202" w:val="left"/>
                <w:tab w:pos="382" w:val="left"/>
              </w:tabs>
              <w:autoSpaceDE w:val="0"/>
              <w:widowControl/>
              <w:spacing w:line="254" w:lineRule="exact" w:before="82" w:after="0"/>
              <w:ind w:left="94" w:right="576" w:firstLine="0"/>
              <w:jc w:val="left"/>
            </w:pPr>
            <w:r>
              <w:rPr>
                <w:rFonts w:ascii="Times New Roman" w:hAnsi="Times New Roman" w:eastAsia="Times New Roman"/>
                <w:b/>
                <w:i/>
                <w:color w:val="000000"/>
                <w:sz w:val="22"/>
              </w:rPr>
              <w:t xml:space="preserve">Nơi nhận: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Thủ tướng Chính phủ, các Phó Thủ tướng Chính phủ (để b/c); </w:t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Các Bộ, cơ quan ngang Bộ, cơ quan thuộc Chính phủ;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UBND các tỉnh, thành phố trực thuộc Trung ương;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Sở TTTT các tỉnh, thành phố trực thuộc Trung ương;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Cục Kiểm tra văn bản QPPL (Bộ Tư pháp);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Công báo, Cổng Thông tin điện tử Chính phủ;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- Bộ TTTT: Bộ trưởng và các Thứ trưởng, các cơ quan, đơn vị </w:t>
            </w:r>
            <w:r>
              <w:tab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 xml:space="preserve">thuộc Bộ, Cổng thông tin điện tử của Bộ; </w:t>
            </w:r>
            <w:r>
              <w:br/>
            </w:r>
            <w:r>
              <w:rPr>
                <w:rFonts w:ascii="TimesNewRomanPSMT" w:hAnsi="TimesNewRomanPSMT" w:eastAsia="TimesNewRomanPSMT"/>
                <w:b w:val="0"/>
                <w:i w:val="0"/>
                <w:color w:val="000000"/>
                <w:sz w:val="22"/>
              </w:rPr>
              <w:t>- Lưu: VT, KHCN (250).</w:t>
            </w:r>
          </w:p>
        </w:tc>
        <w:tc>
          <w:tcPr>
            <w:tcW w:type="dxa" w:w="2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auto" w:before="56" w:after="0"/>
              <w:ind w:left="0" w:right="250" w:firstLine="0"/>
              <w:jc w:val="righ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6"/>
              </w:rPr>
              <w:t xml:space="preserve">BỘ TRƯỞNG </w:t>
            </w:r>
          </w:p>
        </w:tc>
      </w:tr>
    </w:tbl>
    <w:p>
      <w:pPr>
        <w:autoSpaceDN w:val="0"/>
        <w:autoSpaceDE w:val="0"/>
        <w:widowControl/>
        <w:spacing w:line="288" w:lineRule="auto" w:before="128" w:after="0"/>
        <w:ind w:left="0" w:right="156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8"/>
        </w:rPr>
        <w:t>Nguyễn Mạnh Hùng</w:t>
      </w:r>
    </w:p>
    <w:sectPr w:rsidR="00FC693F" w:rsidRPr="0006063C" w:rsidSect="00034616">
      <w:pgSz w:w="11906" w:h="16841"/>
      <w:pgMar w:top="322" w:right="1040" w:bottom="1440" w:left="14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hyperlink" Target="https://thuvienphapluat.vn/van-ban/linh-vuc-khac/nghi-dinh-127-2007-nd-cp-huong-dan-luat-tieu-chuan-va-quy-chuan-ky-thuat-54148.a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huvienphapluat.vn/van-ban/Cong-nghe-thong-tin/Luat-an-toan-thong-tin-mang-2015-298365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D4C43-997F-431F-9C86-3DD6D7C7A344}"/>
</file>

<file path=customXml/itemProps3.xml><?xml version="1.0" encoding="utf-8"?>
<ds:datastoreItem xmlns:ds="http://schemas.openxmlformats.org/officeDocument/2006/customXml" ds:itemID="{A8945370-04C4-4470-BF70-2F89417AE68D}"/>
</file>

<file path=customXml/itemProps4.xml><?xml version="1.0" encoding="utf-8"?>
<ds:datastoreItem xmlns:ds="http://schemas.openxmlformats.org/officeDocument/2006/customXml" ds:itemID="{F1F00B59-8BE4-4815-A873-3566D447B6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