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18" w:type="pct"/>
        <w:tblInd w:w="-459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7"/>
        <w:gridCol w:w="6035"/>
      </w:tblGrid>
      <w:tr w:rsidR="00114390" w:rsidRPr="00966261" w:rsidTr="007870B1">
        <w:trPr>
          <w:trHeight w:val="1196"/>
        </w:trPr>
        <w:tc>
          <w:tcPr>
            <w:tcW w:w="1831" w:type="pct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390" w:rsidRDefault="00114390" w:rsidP="00275005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966261">
              <w:rPr>
                <w:b/>
                <w:bCs/>
                <w:sz w:val="26"/>
                <w:szCs w:val="26"/>
                <w:lang w:val="en-US"/>
              </w:rPr>
              <w:t>THỦ TƯỚNG CHÍNH PHỦ</w:t>
            </w:r>
          </w:p>
          <w:p w:rsidR="00114390" w:rsidRPr="00114390" w:rsidRDefault="00114390" w:rsidP="00275005">
            <w:pPr>
              <w:jc w:val="center"/>
              <w:rPr>
                <w:sz w:val="30"/>
                <w:szCs w:val="26"/>
              </w:rPr>
            </w:pPr>
            <w:r>
              <w:rPr>
                <w:b/>
                <w:bCs/>
                <w:sz w:val="26"/>
                <w:szCs w:val="26"/>
                <w:vertAlign w:val="superscript"/>
                <w:lang w:val="en-US"/>
              </w:rPr>
              <w:t>____________</w:t>
            </w:r>
            <w:r w:rsidRPr="00966261">
              <w:rPr>
                <w:b/>
                <w:bCs/>
                <w:sz w:val="26"/>
                <w:szCs w:val="26"/>
                <w:lang w:val="en-US"/>
              </w:rPr>
              <w:br/>
            </w:r>
          </w:p>
          <w:p w:rsidR="00114390" w:rsidRPr="00966261" w:rsidRDefault="00114390" w:rsidP="00275005">
            <w:pPr>
              <w:jc w:val="center"/>
              <w:rPr>
                <w:sz w:val="26"/>
                <w:szCs w:val="26"/>
              </w:rPr>
            </w:pPr>
            <w:r w:rsidRPr="00966261">
              <w:rPr>
                <w:sz w:val="26"/>
                <w:szCs w:val="26"/>
              </w:rPr>
              <w:t xml:space="preserve">Số: </w:t>
            </w:r>
            <w:r w:rsidR="00351DD1">
              <w:rPr>
                <w:sz w:val="26"/>
                <w:szCs w:val="26"/>
                <w:lang w:val="en-US"/>
              </w:rPr>
              <w:t>45</w:t>
            </w:r>
            <w:r w:rsidRPr="00966261">
              <w:rPr>
                <w:sz w:val="26"/>
                <w:szCs w:val="26"/>
                <w:lang w:val="en-US"/>
              </w:rPr>
              <w:t>/2025/QĐ-TTg</w:t>
            </w:r>
          </w:p>
        </w:tc>
        <w:tc>
          <w:tcPr>
            <w:tcW w:w="3169" w:type="pct"/>
            <w:tcBorders>
              <w:top w:val="nil"/>
              <w:left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4390" w:rsidRPr="00114390" w:rsidRDefault="00114390" w:rsidP="00275005">
            <w:pPr>
              <w:jc w:val="center"/>
              <w:rPr>
                <w:b/>
                <w:bCs/>
                <w:sz w:val="28"/>
                <w:szCs w:val="26"/>
              </w:rPr>
            </w:pPr>
            <w:r w:rsidRPr="00966261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966261">
              <w:rPr>
                <w:b/>
                <w:bCs/>
                <w:sz w:val="26"/>
                <w:szCs w:val="26"/>
              </w:rPr>
              <w:br/>
            </w:r>
            <w:r w:rsidRPr="00114390">
              <w:rPr>
                <w:b/>
                <w:bCs/>
                <w:sz w:val="28"/>
                <w:szCs w:val="26"/>
              </w:rPr>
              <w:t xml:space="preserve">Độc lập - Tự do - Hạnh phúc </w:t>
            </w:r>
          </w:p>
          <w:p w:rsidR="00114390" w:rsidRPr="00966261" w:rsidRDefault="00114390" w:rsidP="00351DD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vertAlign w:val="superscript"/>
                <w:lang w:val="en-US"/>
              </w:rPr>
              <w:t>________________________________________</w:t>
            </w:r>
            <w:r w:rsidRPr="00966261">
              <w:rPr>
                <w:b/>
                <w:bCs/>
                <w:sz w:val="26"/>
                <w:szCs w:val="26"/>
              </w:rPr>
              <w:br/>
            </w:r>
            <w:r w:rsidRPr="00114390">
              <w:rPr>
                <w:i/>
                <w:iCs/>
                <w:sz w:val="28"/>
                <w:szCs w:val="28"/>
              </w:rPr>
              <w:t xml:space="preserve">Hà Nội, ngày </w:t>
            </w:r>
            <w:r w:rsidR="00351DD1">
              <w:rPr>
                <w:i/>
                <w:iCs/>
                <w:sz w:val="28"/>
                <w:szCs w:val="28"/>
                <w:lang w:val="en-US"/>
              </w:rPr>
              <w:t>03</w:t>
            </w:r>
            <w:r w:rsidRPr="00114390">
              <w:rPr>
                <w:i/>
                <w:iCs/>
                <w:sz w:val="28"/>
                <w:szCs w:val="28"/>
              </w:rPr>
              <w:t xml:space="preserve"> tháng</w:t>
            </w:r>
            <w:r w:rsidRPr="00114390">
              <w:rPr>
                <w:i/>
                <w:iCs/>
                <w:sz w:val="28"/>
                <w:szCs w:val="28"/>
                <w:lang w:val="en-US"/>
              </w:rPr>
              <w:t xml:space="preserve"> 1</w:t>
            </w:r>
            <w:r w:rsidR="00351DD1">
              <w:rPr>
                <w:i/>
                <w:iCs/>
                <w:sz w:val="28"/>
                <w:szCs w:val="28"/>
                <w:lang w:val="en-US"/>
              </w:rPr>
              <w:t>2</w:t>
            </w:r>
            <w:r w:rsidRPr="00114390">
              <w:rPr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114390">
              <w:rPr>
                <w:i/>
                <w:iCs/>
                <w:sz w:val="28"/>
                <w:szCs w:val="28"/>
              </w:rPr>
              <w:t>năm 202</w:t>
            </w:r>
            <w:r w:rsidRPr="00114390">
              <w:rPr>
                <w:i/>
                <w:iCs/>
                <w:sz w:val="28"/>
                <w:szCs w:val="28"/>
                <w:lang w:val="en-US"/>
              </w:rPr>
              <w:t>5</w:t>
            </w:r>
          </w:p>
        </w:tc>
      </w:tr>
    </w:tbl>
    <w:p w:rsidR="00114390" w:rsidRPr="00114390" w:rsidRDefault="00114390" w:rsidP="00114390">
      <w:pPr>
        <w:jc w:val="center"/>
        <w:rPr>
          <w:b/>
          <w:bCs/>
          <w:sz w:val="30"/>
        </w:rPr>
      </w:pPr>
    </w:p>
    <w:p w:rsidR="00114390" w:rsidRDefault="00114390" w:rsidP="00114390">
      <w:pPr>
        <w:jc w:val="center"/>
        <w:rPr>
          <w:b/>
          <w:bCs/>
          <w:sz w:val="28"/>
        </w:rPr>
      </w:pPr>
    </w:p>
    <w:p w:rsidR="00837437" w:rsidRPr="00966261" w:rsidRDefault="00837437" w:rsidP="00114390">
      <w:pPr>
        <w:jc w:val="center"/>
        <w:rPr>
          <w:b/>
          <w:sz w:val="28"/>
        </w:rPr>
      </w:pPr>
      <w:r w:rsidRPr="00966261">
        <w:rPr>
          <w:b/>
          <w:bCs/>
          <w:sz w:val="28"/>
        </w:rPr>
        <w:t>QUYẾT ĐỊNH</w:t>
      </w:r>
      <w:bookmarkStart w:id="0" w:name="_GoBack"/>
      <w:bookmarkEnd w:id="0"/>
    </w:p>
    <w:p w:rsidR="00837437" w:rsidRDefault="00E146CC" w:rsidP="00114390">
      <w:pPr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Quy định</w:t>
      </w:r>
      <w:r w:rsidR="00EA1AE1" w:rsidRPr="00966261">
        <w:rPr>
          <w:b/>
          <w:sz w:val="28"/>
          <w:lang w:val="en-US"/>
        </w:rPr>
        <w:t xml:space="preserve"> đối tượng thuê nhà ở công vụ tại các địa phương                                              thuộc diện sắp xếp đơn vị hành chính</w:t>
      </w:r>
      <w:r w:rsidR="00EB6D60" w:rsidRPr="00966261">
        <w:rPr>
          <w:b/>
          <w:sz w:val="28"/>
          <w:lang w:val="en-US"/>
        </w:rPr>
        <w:t xml:space="preserve"> cấp tỉnh</w:t>
      </w:r>
    </w:p>
    <w:p w:rsidR="00114390" w:rsidRPr="00114390" w:rsidRDefault="00114390" w:rsidP="001F3D84">
      <w:pPr>
        <w:jc w:val="center"/>
        <w:rPr>
          <w:b/>
          <w:sz w:val="20"/>
          <w:lang w:val="en-US"/>
        </w:rPr>
      </w:pPr>
    </w:p>
    <w:p w:rsidR="00EA1AE1" w:rsidRPr="00114390" w:rsidRDefault="00EA1AE1" w:rsidP="00114390">
      <w:pPr>
        <w:spacing w:before="240" w:line="262" w:lineRule="auto"/>
        <w:ind w:firstLine="567"/>
        <w:jc w:val="both"/>
        <w:rPr>
          <w:i/>
          <w:iCs/>
          <w:sz w:val="28"/>
          <w:szCs w:val="28"/>
        </w:rPr>
      </w:pPr>
      <w:r w:rsidRPr="00114390">
        <w:rPr>
          <w:i/>
          <w:iCs/>
          <w:sz w:val="28"/>
          <w:szCs w:val="28"/>
        </w:rPr>
        <w:t xml:space="preserve">Căn cứ Luật Tổ chức Chính phủ </w:t>
      </w:r>
      <w:r w:rsidR="008A1D85" w:rsidRPr="00114390">
        <w:rPr>
          <w:i/>
          <w:iCs/>
          <w:sz w:val="28"/>
          <w:szCs w:val="28"/>
          <w:lang w:val="en-US"/>
        </w:rPr>
        <w:t xml:space="preserve">số </w:t>
      </w:r>
      <w:r w:rsidR="008A1D85" w:rsidRPr="00114390">
        <w:rPr>
          <w:i/>
          <w:iCs/>
          <w:sz w:val="28"/>
          <w:szCs w:val="28"/>
        </w:rPr>
        <w:t>63/2025/QH15</w:t>
      </w:r>
      <w:r w:rsidRPr="00114390">
        <w:rPr>
          <w:i/>
          <w:iCs/>
          <w:sz w:val="28"/>
          <w:szCs w:val="28"/>
        </w:rPr>
        <w:t>;</w:t>
      </w:r>
    </w:p>
    <w:p w:rsidR="00EA1AE1" w:rsidRPr="00114390" w:rsidRDefault="00EA1AE1" w:rsidP="00114390">
      <w:pPr>
        <w:spacing w:before="240" w:line="262" w:lineRule="auto"/>
        <w:ind w:firstLine="567"/>
        <w:jc w:val="both"/>
        <w:rPr>
          <w:i/>
          <w:iCs/>
          <w:sz w:val="28"/>
          <w:szCs w:val="28"/>
        </w:rPr>
      </w:pPr>
      <w:r w:rsidRPr="00114390">
        <w:rPr>
          <w:i/>
          <w:iCs/>
          <w:sz w:val="28"/>
          <w:szCs w:val="28"/>
        </w:rPr>
        <w:t>Căn cứ Luật Nhà ở</w:t>
      </w:r>
      <w:r w:rsidR="008A1D85" w:rsidRPr="00114390">
        <w:rPr>
          <w:i/>
          <w:iCs/>
          <w:sz w:val="28"/>
          <w:szCs w:val="28"/>
          <w:lang w:val="en-US"/>
        </w:rPr>
        <w:t xml:space="preserve"> số</w:t>
      </w:r>
      <w:r w:rsidRPr="00114390">
        <w:rPr>
          <w:i/>
          <w:iCs/>
          <w:sz w:val="28"/>
          <w:szCs w:val="28"/>
        </w:rPr>
        <w:t xml:space="preserve"> </w:t>
      </w:r>
      <w:r w:rsidR="008A1D85" w:rsidRPr="00114390">
        <w:rPr>
          <w:i/>
          <w:iCs/>
          <w:sz w:val="28"/>
          <w:szCs w:val="28"/>
        </w:rPr>
        <w:t>27/2023/QH15</w:t>
      </w:r>
      <w:r w:rsidRPr="00114390">
        <w:rPr>
          <w:i/>
          <w:iCs/>
          <w:sz w:val="28"/>
          <w:szCs w:val="28"/>
        </w:rPr>
        <w:t>;</w:t>
      </w:r>
    </w:p>
    <w:p w:rsidR="00EB6D60" w:rsidRPr="00114390" w:rsidRDefault="00EB6D60" w:rsidP="00114390">
      <w:pPr>
        <w:spacing w:before="240" w:line="262" w:lineRule="auto"/>
        <w:ind w:firstLine="567"/>
        <w:jc w:val="both"/>
        <w:rPr>
          <w:i/>
          <w:iCs/>
          <w:sz w:val="28"/>
          <w:szCs w:val="28"/>
          <w:lang w:val="en-US"/>
        </w:rPr>
      </w:pPr>
      <w:r w:rsidRPr="00114390">
        <w:rPr>
          <w:i/>
          <w:sz w:val="28"/>
          <w:szCs w:val="28"/>
          <w:lang w:val="en-US"/>
        </w:rPr>
        <w:t xml:space="preserve">Căn cứ </w:t>
      </w:r>
      <w:r w:rsidRPr="00114390">
        <w:rPr>
          <w:i/>
          <w:iCs/>
          <w:sz w:val="28"/>
          <w:szCs w:val="28"/>
        </w:rPr>
        <w:t>Nghị quyết số 202/2025/QH15</w:t>
      </w:r>
      <w:r w:rsidR="004239A0" w:rsidRPr="00114390">
        <w:rPr>
          <w:i/>
          <w:iCs/>
          <w:sz w:val="28"/>
          <w:szCs w:val="28"/>
          <w:lang w:val="en-US"/>
        </w:rPr>
        <w:t xml:space="preserve"> </w:t>
      </w:r>
      <w:r w:rsidRPr="00114390">
        <w:rPr>
          <w:i/>
          <w:iCs/>
          <w:sz w:val="28"/>
          <w:szCs w:val="28"/>
          <w:lang w:val="en-US"/>
        </w:rPr>
        <w:t>của</w:t>
      </w:r>
      <w:r w:rsidRPr="00114390">
        <w:rPr>
          <w:i/>
          <w:iCs/>
          <w:sz w:val="28"/>
          <w:szCs w:val="28"/>
        </w:rPr>
        <w:t xml:space="preserve"> Quốc hội</w:t>
      </w:r>
      <w:r w:rsidRPr="00114390">
        <w:rPr>
          <w:i/>
          <w:iCs/>
          <w:sz w:val="28"/>
          <w:szCs w:val="28"/>
          <w:lang w:val="en-US"/>
        </w:rPr>
        <w:t xml:space="preserve"> </w:t>
      </w:r>
      <w:r w:rsidRPr="00114390">
        <w:rPr>
          <w:i/>
          <w:iCs/>
          <w:sz w:val="28"/>
          <w:szCs w:val="28"/>
        </w:rPr>
        <w:t>về việc sắp xếp</w:t>
      </w:r>
      <w:r w:rsidR="004239A0" w:rsidRPr="00114390">
        <w:rPr>
          <w:i/>
          <w:iCs/>
          <w:sz w:val="28"/>
          <w:szCs w:val="28"/>
          <w:lang w:val="en-US"/>
        </w:rPr>
        <w:t xml:space="preserve"> </w:t>
      </w:r>
      <w:r w:rsidR="00E8091D">
        <w:rPr>
          <w:i/>
          <w:iCs/>
          <w:sz w:val="28"/>
          <w:szCs w:val="28"/>
          <w:lang w:val="en-US"/>
        </w:rPr>
        <w:t xml:space="preserve">                    </w:t>
      </w:r>
      <w:r w:rsidRPr="00114390">
        <w:rPr>
          <w:i/>
          <w:iCs/>
          <w:sz w:val="28"/>
          <w:szCs w:val="28"/>
        </w:rPr>
        <w:t>đơn vị hành chính cấp tỉnh</w:t>
      </w:r>
      <w:r w:rsidRPr="00114390">
        <w:rPr>
          <w:i/>
          <w:iCs/>
          <w:sz w:val="28"/>
          <w:szCs w:val="28"/>
          <w:lang w:val="en-US"/>
        </w:rPr>
        <w:t>;</w:t>
      </w:r>
      <w:r w:rsidRPr="00114390">
        <w:rPr>
          <w:i/>
          <w:iCs/>
          <w:sz w:val="28"/>
          <w:szCs w:val="28"/>
        </w:rPr>
        <w:t xml:space="preserve"> </w:t>
      </w:r>
    </w:p>
    <w:p w:rsidR="00EA1AE1" w:rsidRPr="00114390" w:rsidRDefault="00EA1AE1" w:rsidP="00114390">
      <w:pPr>
        <w:spacing w:before="240" w:line="262" w:lineRule="auto"/>
        <w:ind w:firstLine="567"/>
        <w:jc w:val="both"/>
        <w:rPr>
          <w:i/>
          <w:sz w:val="28"/>
          <w:szCs w:val="28"/>
        </w:rPr>
      </w:pPr>
      <w:r w:rsidRPr="00114390">
        <w:rPr>
          <w:i/>
          <w:sz w:val="28"/>
          <w:szCs w:val="28"/>
        </w:rPr>
        <w:t xml:space="preserve">Căn cứ </w:t>
      </w:r>
      <w:r w:rsidRPr="00114390">
        <w:rPr>
          <w:i/>
          <w:sz w:val="28"/>
          <w:szCs w:val="28"/>
          <w:lang w:val="nb-NO"/>
        </w:rPr>
        <w:t>Nghị định số 95/2024/NĐ-CP của Chính phủ</w:t>
      </w:r>
      <w:r w:rsidR="00EB6D60" w:rsidRPr="00114390">
        <w:rPr>
          <w:i/>
          <w:sz w:val="28"/>
          <w:szCs w:val="28"/>
          <w:lang w:val="nb-NO"/>
        </w:rPr>
        <w:t xml:space="preserve"> </w:t>
      </w:r>
      <w:r w:rsidRPr="00114390">
        <w:rPr>
          <w:i/>
          <w:sz w:val="28"/>
          <w:szCs w:val="28"/>
          <w:lang w:val="nb-NO"/>
        </w:rPr>
        <w:t>quy định chi tiết</w:t>
      </w:r>
      <w:r w:rsidR="00E8091D">
        <w:rPr>
          <w:i/>
          <w:sz w:val="28"/>
          <w:szCs w:val="28"/>
          <w:lang w:val="nb-NO"/>
        </w:rPr>
        <w:t xml:space="preserve">                 </w:t>
      </w:r>
      <w:r w:rsidR="00735258" w:rsidRPr="00114390">
        <w:rPr>
          <w:i/>
          <w:sz w:val="28"/>
          <w:szCs w:val="28"/>
          <w:lang w:val="nb-NO"/>
        </w:rPr>
        <w:t xml:space="preserve"> </w:t>
      </w:r>
      <w:r w:rsidRPr="00114390">
        <w:rPr>
          <w:i/>
          <w:sz w:val="28"/>
          <w:szCs w:val="28"/>
          <w:lang w:val="nb-NO"/>
        </w:rPr>
        <w:t>một số điều của Luật Nhà ở</w:t>
      </w:r>
      <w:r w:rsidRPr="00114390">
        <w:rPr>
          <w:i/>
          <w:sz w:val="28"/>
          <w:szCs w:val="28"/>
        </w:rPr>
        <w:t>;</w:t>
      </w:r>
    </w:p>
    <w:p w:rsidR="00837437" w:rsidRPr="00114390" w:rsidRDefault="00837437" w:rsidP="00114390">
      <w:pPr>
        <w:spacing w:before="240" w:line="262" w:lineRule="auto"/>
        <w:ind w:firstLine="567"/>
        <w:jc w:val="both"/>
        <w:rPr>
          <w:i/>
          <w:iCs/>
          <w:sz w:val="28"/>
          <w:szCs w:val="28"/>
        </w:rPr>
      </w:pPr>
      <w:r w:rsidRPr="00114390">
        <w:rPr>
          <w:i/>
          <w:iCs/>
          <w:sz w:val="28"/>
          <w:szCs w:val="28"/>
        </w:rPr>
        <w:t>Theo đề nghị của Bộ trưởng Bộ Xây dựng;</w:t>
      </w:r>
    </w:p>
    <w:p w:rsidR="00837437" w:rsidRPr="00114390" w:rsidRDefault="00837437" w:rsidP="00114390">
      <w:pPr>
        <w:spacing w:before="240" w:line="262" w:lineRule="auto"/>
        <w:ind w:firstLine="567"/>
        <w:jc w:val="both"/>
        <w:rPr>
          <w:i/>
          <w:iCs/>
          <w:spacing w:val="-2"/>
          <w:sz w:val="28"/>
          <w:szCs w:val="28"/>
          <w:lang w:val="en-US"/>
        </w:rPr>
      </w:pPr>
      <w:r w:rsidRPr="00114390">
        <w:rPr>
          <w:i/>
          <w:iCs/>
          <w:spacing w:val="-2"/>
          <w:sz w:val="28"/>
          <w:szCs w:val="28"/>
        </w:rPr>
        <w:t xml:space="preserve">Thủ tướng Chính phủ ban hành Quyết định </w:t>
      </w:r>
      <w:r w:rsidR="00E146CC" w:rsidRPr="00114390">
        <w:rPr>
          <w:i/>
          <w:iCs/>
          <w:spacing w:val="-2"/>
          <w:sz w:val="28"/>
          <w:szCs w:val="28"/>
          <w:lang w:val="en-US"/>
        </w:rPr>
        <w:t>quy định</w:t>
      </w:r>
      <w:r w:rsidRPr="00114390">
        <w:rPr>
          <w:i/>
          <w:iCs/>
          <w:spacing w:val="-2"/>
          <w:sz w:val="28"/>
          <w:szCs w:val="28"/>
        </w:rPr>
        <w:t xml:space="preserve"> </w:t>
      </w:r>
      <w:r w:rsidR="00EA1AE1" w:rsidRPr="00114390">
        <w:rPr>
          <w:i/>
          <w:iCs/>
          <w:spacing w:val="-2"/>
          <w:sz w:val="28"/>
          <w:szCs w:val="28"/>
          <w:lang w:val="en-US"/>
        </w:rPr>
        <w:t>đối tượng thuê nhà ở công vụ tại các địa phương thuộc diện sắp xếp đơn vị hành chính</w:t>
      </w:r>
      <w:r w:rsidR="00AE4B0F" w:rsidRPr="00114390">
        <w:rPr>
          <w:i/>
          <w:iCs/>
          <w:spacing w:val="-2"/>
          <w:sz w:val="28"/>
          <w:szCs w:val="28"/>
          <w:lang w:val="en-US"/>
        </w:rPr>
        <w:t xml:space="preserve"> cấp tỉnh</w:t>
      </w:r>
      <w:r w:rsidR="00371BFF" w:rsidRPr="00114390">
        <w:rPr>
          <w:i/>
          <w:iCs/>
          <w:spacing w:val="-2"/>
          <w:sz w:val="28"/>
          <w:szCs w:val="28"/>
          <w:lang w:val="en-US"/>
        </w:rPr>
        <w:t>.</w:t>
      </w:r>
    </w:p>
    <w:p w:rsidR="00114390" w:rsidRPr="00114390" w:rsidRDefault="00114390" w:rsidP="00114390">
      <w:pPr>
        <w:spacing w:before="240"/>
        <w:ind w:firstLine="567"/>
        <w:jc w:val="both"/>
        <w:rPr>
          <w:i/>
          <w:iCs/>
          <w:spacing w:val="-2"/>
          <w:sz w:val="11"/>
          <w:szCs w:val="27"/>
          <w:lang w:val="en-US"/>
        </w:rPr>
      </w:pPr>
    </w:p>
    <w:p w:rsidR="00823E98" w:rsidRPr="00114390" w:rsidRDefault="00837437" w:rsidP="00114390">
      <w:pPr>
        <w:spacing w:before="240"/>
        <w:ind w:firstLine="567"/>
        <w:jc w:val="both"/>
        <w:rPr>
          <w:b/>
          <w:bCs/>
          <w:sz w:val="28"/>
          <w:szCs w:val="28"/>
          <w:lang w:val="en-US"/>
        </w:rPr>
      </w:pPr>
      <w:r w:rsidRPr="00114390">
        <w:rPr>
          <w:b/>
          <w:bCs/>
          <w:sz w:val="28"/>
          <w:szCs w:val="28"/>
        </w:rPr>
        <w:t>Điều 1. Phạm vi điều chỉnh</w:t>
      </w:r>
    </w:p>
    <w:p w:rsidR="00D90D46" w:rsidRPr="00114390" w:rsidRDefault="00D90D46" w:rsidP="00114390">
      <w:pPr>
        <w:spacing w:before="240"/>
        <w:ind w:firstLine="567"/>
        <w:jc w:val="both"/>
        <w:rPr>
          <w:bCs/>
          <w:sz w:val="28"/>
          <w:szCs w:val="28"/>
          <w:lang w:val="en-US"/>
        </w:rPr>
      </w:pPr>
      <w:r w:rsidRPr="00114390">
        <w:rPr>
          <w:sz w:val="28"/>
          <w:szCs w:val="28"/>
        </w:rPr>
        <w:t>Quyết định này quy định</w:t>
      </w:r>
      <w:r w:rsidR="00E9228E" w:rsidRPr="00114390">
        <w:rPr>
          <w:sz w:val="28"/>
          <w:szCs w:val="28"/>
          <w:lang w:val="en-US"/>
        </w:rPr>
        <w:t xml:space="preserve"> về </w:t>
      </w:r>
      <w:r w:rsidR="00371BFF" w:rsidRPr="00114390">
        <w:rPr>
          <w:sz w:val="28"/>
          <w:szCs w:val="28"/>
          <w:lang w:val="en-US"/>
        </w:rPr>
        <w:t>đối tượng</w:t>
      </w:r>
      <w:r w:rsidR="004D2E93" w:rsidRPr="00114390">
        <w:rPr>
          <w:sz w:val="28"/>
          <w:szCs w:val="28"/>
          <w:lang w:val="en-US"/>
        </w:rPr>
        <w:t xml:space="preserve"> thuê nhà ở công vụ</w:t>
      </w:r>
      <w:r w:rsidR="00C65E75" w:rsidRPr="00114390">
        <w:rPr>
          <w:sz w:val="28"/>
          <w:szCs w:val="28"/>
          <w:lang w:val="en-US"/>
        </w:rPr>
        <w:t xml:space="preserve"> </w:t>
      </w:r>
      <w:r w:rsidR="00371BFF" w:rsidRPr="00114390">
        <w:rPr>
          <w:sz w:val="28"/>
          <w:szCs w:val="28"/>
          <w:lang w:val="en-US"/>
        </w:rPr>
        <w:t xml:space="preserve">và </w:t>
      </w:r>
      <w:r w:rsidR="00E9228E" w:rsidRPr="00114390">
        <w:rPr>
          <w:sz w:val="28"/>
          <w:szCs w:val="28"/>
          <w:lang w:val="en-US"/>
        </w:rPr>
        <w:t>t</w:t>
      </w:r>
      <w:r w:rsidRPr="00114390">
        <w:rPr>
          <w:sz w:val="28"/>
          <w:szCs w:val="28"/>
        </w:rPr>
        <w:t>iêu chuẩn nhà ở công vụ</w:t>
      </w:r>
      <w:r w:rsidR="004239A0" w:rsidRPr="00114390">
        <w:rPr>
          <w:sz w:val="28"/>
          <w:szCs w:val="28"/>
          <w:lang w:val="en-US"/>
        </w:rPr>
        <w:t xml:space="preserve"> đối với cán bộ, công chức, viên chức</w:t>
      </w:r>
      <w:r w:rsidR="00371BFF" w:rsidRPr="00114390">
        <w:rPr>
          <w:b/>
          <w:sz w:val="28"/>
          <w:szCs w:val="28"/>
          <w:lang w:val="en-US"/>
        </w:rPr>
        <w:t xml:space="preserve"> </w:t>
      </w:r>
      <w:r w:rsidR="00371BFF" w:rsidRPr="00114390">
        <w:rPr>
          <w:bCs/>
          <w:sz w:val="28"/>
          <w:szCs w:val="28"/>
          <w:lang w:val="en-US"/>
        </w:rPr>
        <w:t xml:space="preserve">tại các địa phương </w:t>
      </w:r>
      <w:r w:rsidR="00E8091D">
        <w:rPr>
          <w:bCs/>
          <w:sz w:val="28"/>
          <w:szCs w:val="28"/>
          <w:lang w:val="en-US"/>
        </w:rPr>
        <w:t xml:space="preserve">                   </w:t>
      </w:r>
      <w:r w:rsidR="00371BFF" w:rsidRPr="00114390">
        <w:rPr>
          <w:bCs/>
          <w:sz w:val="28"/>
          <w:szCs w:val="28"/>
          <w:lang w:val="en-US"/>
        </w:rPr>
        <w:t>thuộc diện sắp xếp đơn vị hành chính</w:t>
      </w:r>
      <w:r w:rsidR="008A03EC" w:rsidRPr="00114390">
        <w:rPr>
          <w:bCs/>
          <w:sz w:val="28"/>
          <w:szCs w:val="28"/>
        </w:rPr>
        <w:t xml:space="preserve"> cấp tỉnh</w:t>
      </w:r>
      <w:r w:rsidR="00867CFC" w:rsidRPr="00114390">
        <w:rPr>
          <w:bCs/>
          <w:sz w:val="28"/>
          <w:szCs w:val="28"/>
          <w:lang w:val="en-US"/>
        </w:rPr>
        <w:t>.</w:t>
      </w:r>
    </w:p>
    <w:p w:rsidR="00837437" w:rsidRPr="00114390" w:rsidRDefault="00B629C7" w:rsidP="00114390">
      <w:pPr>
        <w:spacing w:before="240"/>
        <w:ind w:firstLine="567"/>
        <w:jc w:val="both"/>
        <w:rPr>
          <w:b/>
          <w:bCs/>
          <w:sz w:val="28"/>
          <w:szCs w:val="28"/>
          <w:lang w:val="en-US"/>
        </w:rPr>
      </w:pPr>
      <w:r w:rsidRPr="00114390">
        <w:rPr>
          <w:b/>
          <w:bCs/>
          <w:sz w:val="28"/>
          <w:szCs w:val="28"/>
          <w:lang w:val="en-US"/>
        </w:rPr>
        <w:t xml:space="preserve">Điều </w:t>
      </w:r>
      <w:r w:rsidR="00837437" w:rsidRPr="00114390">
        <w:rPr>
          <w:b/>
          <w:bCs/>
          <w:sz w:val="28"/>
          <w:szCs w:val="28"/>
        </w:rPr>
        <w:t>2. Đối tượng áp dụng</w:t>
      </w:r>
    </w:p>
    <w:p w:rsidR="00837437" w:rsidRPr="00114390" w:rsidRDefault="00837437" w:rsidP="00114390">
      <w:pPr>
        <w:spacing w:before="240"/>
        <w:ind w:firstLine="567"/>
        <w:jc w:val="both"/>
        <w:rPr>
          <w:spacing w:val="-4"/>
          <w:sz w:val="28"/>
          <w:szCs w:val="28"/>
        </w:rPr>
      </w:pPr>
      <w:bookmarkStart w:id="1" w:name="_Hlk66798052"/>
      <w:r w:rsidRPr="00114390">
        <w:rPr>
          <w:sz w:val="28"/>
          <w:szCs w:val="28"/>
        </w:rPr>
        <w:t xml:space="preserve">Ủy ban nhân dân tỉnh, </w:t>
      </w:r>
      <w:r w:rsidR="00CB65C2" w:rsidRPr="00114390">
        <w:rPr>
          <w:sz w:val="28"/>
          <w:szCs w:val="28"/>
          <w:lang w:val="en-US"/>
        </w:rPr>
        <w:t>thành phố trực thuộc trung ương</w:t>
      </w:r>
      <w:r w:rsidR="00B629C7" w:rsidRPr="00114390">
        <w:rPr>
          <w:sz w:val="28"/>
          <w:szCs w:val="28"/>
          <w:lang w:val="en-US"/>
        </w:rPr>
        <w:t xml:space="preserve"> thuộc diện sắp xếp đơn vị hành chính</w:t>
      </w:r>
      <w:r w:rsidR="008A03EC" w:rsidRPr="00114390">
        <w:rPr>
          <w:sz w:val="28"/>
          <w:szCs w:val="28"/>
        </w:rPr>
        <w:t xml:space="preserve"> cấp tỉnh</w:t>
      </w:r>
      <w:r w:rsidR="00CB65C2" w:rsidRPr="00114390">
        <w:rPr>
          <w:sz w:val="28"/>
          <w:szCs w:val="28"/>
          <w:lang w:val="en-US"/>
        </w:rPr>
        <w:t xml:space="preserve">, </w:t>
      </w:r>
      <w:r w:rsidRPr="00114390">
        <w:rPr>
          <w:sz w:val="28"/>
          <w:szCs w:val="28"/>
        </w:rPr>
        <w:t xml:space="preserve">cơ quan quản lý nhà ở công vụ, đơn vị quản lý </w:t>
      </w:r>
      <w:r w:rsidR="00E8091D">
        <w:rPr>
          <w:sz w:val="28"/>
          <w:szCs w:val="28"/>
          <w:lang w:val="en-US"/>
        </w:rPr>
        <w:t xml:space="preserve">                </w:t>
      </w:r>
      <w:r w:rsidRPr="00114390">
        <w:rPr>
          <w:sz w:val="28"/>
          <w:szCs w:val="28"/>
        </w:rPr>
        <w:t>vận hành nhà ở công vụ</w:t>
      </w:r>
      <w:r w:rsidR="008876B5" w:rsidRPr="00114390">
        <w:rPr>
          <w:sz w:val="28"/>
          <w:szCs w:val="28"/>
          <w:lang w:val="en-US"/>
        </w:rPr>
        <w:t xml:space="preserve"> và c</w:t>
      </w:r>
      <w:r w:rsidRPr="00114390">
        <w:rPr>
          <w:spacing w:val="-4"/>
          <w:sz w:val="28"/>
          <w:szCs w:val="28"/>
        </w:rPr>
        <w:t>ác tổ chức, cá nhân có liên quan đến việc bố trí cho thuê nhà ở công vụ.</w:t>
      </w:r>
    </w:p>
    <w:bookmarkEnd w:id="1"/>
    <w:p w:rsidR="00B629C7" w:rsidRPr="00114390" w:rsidRDefault="00B629C7" w:rsidP="00114390">
      <w:pPr>
        <w:spacing w:before="240"/>
        <w:ind w:firstLine="567"/>
        <w:jc w:val="both"/>
        <w:rPr>
          <w:b/>
          <w:bCs/>
          <w:sz w:val="28"/>
          <w:szCs w:val="28"/>
          <w:lang w:val="en-US"/>
        </w:rPr>
      </w:pPr>
      <w:r w:rsidRPr="00114390">
        <w:rPr>
          <w:b/>
          <w:bCs/>
          <w:sz w:val="28"/>
          <w:szCs w:val="28"/>
        </w:rPr>
        <w:t xml:space="preserve">Điều 3. </w:t>
      </w:r>
      <w:bookmarkStart w:id="2" w:name="_Hlk207896321"/>
      <w:r w:rsidRPr="00114390">
        <w:rPr>
          <w:b/>
          <w:bCs/>
          <w:sz w:val="28"/>
          <w:szCs w:val="28"/>
        </w:rPr>
        <w:t xml:space="preserve">Quy định </w:t>
      </w:r>
      <w:r w:rsidR="00321DEC" w:rsidRPr="00114390">
        <w:rPr>
          <w:b/>
          <w:bCs/>
          <w:sz w:val="28"/>
          <w:szCs w:val="28"/>
          <w:lang w:val="en-US"/>
        </w:rPr>
        <w:t>về đối tượng thuê</w:t>
      </w:r>
      <w:r w:rsidR="001227B9" w:rsidRPr="00114390">
        <w:rPr>
          <w:b/>
          <w:bCs/>
          <w:sz w:val="28"/>
          <w:szCs w:val="28"/>
          <w:lang w:val="en-US"/>
        </w:rPr>
        <w:t xml:space="preserve"> nhà ở công vụ</w:t>
      </w:r>
      <w:bookmarkEnd w:id="2"/>
    </w:p>
    <w:p w:rsidR="007C2A44" w:rsidRPr="00114390" w:rsidRDefault="00321DEC" w:rsidP="00114390">
      <w:pPr>
        <w:spacing w:before="240"/>
        <w:ind w:firstLine="567"/>
        <w:jc w:val="both"/>
        <w:rPr>
          <w:sz w:val="28"/>
          <w:szCs w:val="28"/>
          <w:lang w:val="en-US"/>
        </w:rPr>
      </w:pPr>
      <w:r w:rsidRPr="00E8091D">
        <w:rPr>
          <w:spacing w:val="-8"/>
          <w:sz w:val="28"/>
          <w:szCs w:val="28"/>
          <w:lang w:val="en-US"/>
        </w:rPr>
        <w:t>1. Đ</w:t>
      </w:r>
      <w:r w:rsidRPr="00E8091D">
        <w:rPr>
          <w:spacing w:val="-8"/>
          <w:sz w:val="28"/>
          <w:szCs w:val="28"/>
        </w:rPr>
        <w:t>ối tượng</w:t>
      </w:r>
      <w:r w:rsidR="0092146B" w:rsidRPr="00E8091D">
        <w:rPr>
          <w:spacing w:val="-8"/>
          <w:sz w:val="28"/>
          <w:szCs w:val="28"/>
          <w:lang w:val="en-US"/>
        </w:rPr>
        <w:t xml:space="preserve"> thuê nhà ở công vụ</w:t>
      </w:r>
      <w:r w:rsidRPr="00E8091D">
        <w:rPr>
          <w:spacing w:val="-8"/>
          <w:sz w:val="28"/>
          <w:szCs w:val="28"/>
        </w:rPr>
        <w:t xml:space="preserve"> thuộc điểm g khoản 1 Điều 45 Luật Nhà ở </w:t>
      </w:r>
      <w:r w:rsidRPr="00114390">
        <w:rPr>
          <w:sz w:val="28"/>
          <w:szCs w:val="28"/>
        </w:rPr>
        <w:t>năm 2023 là</w:t>
      </w:r>
      <w:r w:rsidR="0092146B" w:rsidRPr="00114390">
        <w:rPr>
          <w:sz w:val="28"/>
          <w:szCs w:val="28"/>
          <w:lang w:val="en-US"/>
        </w:rPr>
        <w:t xml:space="preserve"> </w:t>
      </w:r>
      <w:r w:rsidRPr="00114390">
        <w:rPr>
          <w:sz w:val="28"/>
          <w:szCs w:val="28"/>
        </w:rPr>
        <w:t>cán bộ, công chức, viên chức do phải di chuyển chỗ làm đến</w:t>
      </w:r>
      <w:r w:rsidR="00E8091D">
        <w:rPr>
          <w:sz w:val="28"/>
          <w:szCs w:val="28"/>
          <w:lang w:val="en-US"/>
        </w:rPr>
        <w:t xml:space="preserve">              </w:t>
      </w:r>
      <w:r w:rsidRPr="00114390">
        <w:rPr>
          <w:sz w:val="28"/>
          <w:szCs w:val="28"/>
        </w:rPr>
        <w:t xml:space="preserve"> trung tâm chính trị - hành chính mới tại các địa phương thuộc diện sắp xếp </w:t>
      </w:r>
      <w:r w:rsidR="00E8091D">
        <w:rPr>
          <w:sz w:val="28"/>
          <w:szCs w:val="28"/>
          <w:lang w:val="en-US"/>
        </w:rPr>
        <w:t xml:space="preserve">                  </w:t>
      </w:r>
      <w:r w:rsidRPr="00114390">
        <w:rPr>
          <w:sz w:val="28"/>
          <w:szCs w:val="28"/>
        </w:rPr>
        <w:t>đơn vị hành chính cấp tỉnh</w:t>
      </w:r>
      <w:r w:rsidR="007C2A44" w:rsidRPr="00114390">
        <w:rPr>
          <w:sz w:val="28"/>
          <w:szCs w:val="28"/>
          <w:lang w:val="en-US"/>
        </w:rPr>
        <w:t>.</w:t>
      </w:r>
    </w:p>
    <w:p w:rsidR="00321DEC" w:rsidRPr="00114390" w:rsidRDefault="007C2A44" w:rsidP="00114390">
      <w:pPr>
        <w:spacing w:before="240" w:line="257" w:lineRule="auto"/>
        <w:ind w:firstLine="567"/>
        <w:jc w:val="both"/>
        <w:rPr>
          <w:sz w:val="28"/>
          <w:szCs w:val="28"/>
          <w:lang w:val="en-US"/>
        </w:rPr>
      </w:pPr>
      <w:r w:rsidRPr="00114390">
        <w:rPr>
          <w:sz w:val="28"/>
          <w:szCs w:val="28"/>
          <w:lang w:val="en-US"/>
        </w:rPr>
        <w:lastRenderedPageBreak/>
        <w:t xml:space="preserve">2. Đối tượng quy định tại khoản 1 Điều này phải thuộc trường hợp chưa có nhà ở </w:t>
      </w:r>
      <w:r w:rsidR="00385B24" w:rsidRPr="00114390">
        <w:rPr>
          <w:sz w:val="28"/>
          <w:szCs w:val="28"/>
        </w:rPr>
        <w:t xml:space="preserve">thuộc sở hữu của mình </w:t>
      </w:r>
      <w:r w:rsidRPr="00114390">
        <w:rPr>
          <w:sz w:val="28"/>
          <w:szCs w:val="28"/>
          <w:lang w:val="en-US"/>
        </w:rPr>
        <w:t>hoặc có nhà ở (bao gồm cả nhà ở xã hội)</w:t>
      </w:r>
      <w:r w:rsidR="00321DEC" w:rsidRPr="00114390">
        <w:rPr>
          <w:sz w:val="28"/>
          <w:szCs w:val="28"/>
        </w:rPr>
        <w:t xml:space="preserve"> mà có khoảng cách theo chiều dài giao thông đường bộ ngắn nhất từ nhà ở thuộc sở hữu của mình đến địa điểm làm việc (gồm: trụ sở làm việc chính, chi nhánh hoặc văn phòng đại diện của cơ quan, tổ chức) từ 10 km trở lên tại khu vực miền núi</w:t>
      </w:r>
      <w:r w:rsidR="00321DEC" w:rsidRPr="00114390">
        <w:rPr>
          <w:sz w:val="28"/>
          <w:szCs w:val="28"/>
          <w:lang w:val="en-US"/>
        </w:rPr>
        <w:t>,</w:t>
      </w:r>
      <w:r w:rsidR="00321DEC" w:rsidRPr="00114390">
        <w:rPr>
          <w:sz w:val="28"/>
          <w:szCs w:val="28"/>
        </w:rPr>
        <w:t xml:space="preserve"> vùng sâu, vùng xa có điều kiện kinh tế khó khăn, khu vực biên giới, hải đảo</w:t>
      </w:r>
      <w:r w:rsidR="008876B5" w:rsidRPr="00114390">
        <w:rPr>
          <w:sz w:val="28"/>
          <w:szCs w:val="28"/>
          <w:lang w:val="en-US"/>
        </w:rPr>
        <w:t xml:space="preserve"> và từ </w:t>
      </w:r>
      <w:r w:rsidR="008876B5" w:rsidRPr="00114390">
        <w:rPr>
          <w:sz w:val="28"/>
          <w:szCs w:val="28"/>
        </w:rPr>
        <w:t xml:space="preserve">30 km trở lên tại khu vực </w:t>
      </w:r>
      <w:r w:rsidR="008876B5" w:rsidRPr="00114390">
        <w:rPr>
          <w:sz w:val="28"/>
          <w:szCs w:val="28"/>
          <w:lang w:val="en-US"/>
        </w:rPr>
        <w:t>còn lại.</w:t>
      </w:r>
    </w:p>
    <w:p w:rsidR="00B629C7" w:rsidRPr="00114390" w:rsidRDefault="00B629C7" w:rsidP="00114390">
      <w:pPr>
        <w:spacing w:before="240" w:line="257" w:lineRule="auto"/>
        <w:ind w:firstLine="567"/>
        <w:jc w:val="both"/>
        <w:rPr>
          <w:rFonts w:ascii="Times New Roman Bold" w:hAnsi="Times New Roman Bold"/>
          <w:b/>
          <w:bCs/>
          <w:sz w:val="28"/>
          <w:szCs w:val="28"/>
          <w:lang w:val="en-US"/>
        </w:rPr>
      </w:pPr>
      <w:bookmarkStart w:id="3" w:name="_Hlk77337600"/>
      <w:r w:rsidRPr="00114390">
        <w:rPr>
          <w:rFonts w:ascii="Times New Roman Bold" w:hAnsi="Times New Roman Bold"/>
          <w:b/>
          <w:bCs/>
          <w:sz w:val="28"/>
          <w:szCs w:val="28"/>
          <w:lang w:val="en-US"/>
        </w:rPr>
        <w:t xml:space="preserve">Điều 4. </w:t>
      </w:r>
      <w:bookmarkStart w:id="4" w:name="_Hlk207896499"/>
      <w:r w:rsidRPr="00114390">
        <w:rPr>
          <w:rFonts w:ascii="Times New Roman Bold" w:hAnsi="Times New Roman Bold"/>
          <w:b/>
          <w:bCs/>
          <w:sz w:val="28"/>
          <w:szCs w:val="28"/>
          <w:lang w:val="en-US"/>
        </w:rPr>
        <w:t xml:space="preserve">Quy định về tiêu chuẩn diện tích và trang thiết bị nội thất </w:t>
      </w:r>
      <w:bookmarkEnd w:id="4"/>
    </w:p>
    <w:bookmarkEnd w:id="3"/>
    <w:p w:rsidR="0092146B" w:rsidRPr="00114390" w:rsidRDefault="0092146B" w:rsidP="00114390">
      <w:pPr>
        <w:spacing w:before="240" w:line="257" w:lineRule="auto"/>
        <w:ind w:firstLine="567"/>
        <w:jc w:val="both"/>
        <w:rPr>
          <w:sz w:val="28"/>
          <w:szCs w:val="28"/>
        </w:rPr>
      </w:pPr>
      <w:r w:rsidRPr="00E8091D">
        <w:rPr>
          <w:spacing w:val="-8"/>
          <w:sz w:val="28"/>
          <w:szCs w:val="28"/>
          <w:lang w:val="en-US"/>
        </w:rPr>
        <w:t>1. Trưởng phòng,</w:t>
      </w:r>
      <w:r w:rsidRPr="00E8091D">
        <w:rPr>
          <w:spacing w:val="-8"/>
          <w:sz w:val="28"/>
          <w:szCs w:val="28"/>
        </w:rPr>
        <w:t xml:space="preserve"> </w:t>
      </w:r>
      <w:r w:rsidRPr="00E8091D">
        <w:rPr>
          <w:spacing w:val="-8"/>
          <w:sz w:val="28"/>
          <w:szCs w:val="28"/>
          <w:lang w:val="en-US"/>
        </w:rPr>
        <w:t>Phó Trưởng phòng thuộc</w:t>
      </w:r>
      <w:r w:rsidRPr="00E8091D">
        <w:rPr>
          <w:spacing w:val="-8"/>
          <w:sz w:val="28"/>
          <w:szCs w:val="28"/>
        </w:rPr>
        <w:t xml:space="preserve"> Sở</w:t>
      </w:r>
      <w:r w:rsidRPr="00E8091D">
        <w:rPr>
          <w:spacing w:val="-8"/>
          <w:sz w:val="28"/>
          <w:szCs w:val="28"/>
          <w:lang w:val="en-US"/>
        </w:rPr>
        <w:t xml:space="preserve"> và tương đương, công chức</w:t>
      </w:r>
      <w:r w:rsidRPr="00114390">
        <w:rPr>
          <w:sz w:val="28"/>
          <w:szCs w:val="28"/>
          <w:lang w:val="en-US"/>
        </w:rPr>
        <w:t>, viên chức tại các địa phương thuộc diện sắp xếp đơn vị hành chính cấp tỉnh được bố trí cho thuê</w:t>
      </w:r>
      <w:r w:rsidRPr="00114390">
        <w:rPr>
          <w:sz w:val="28"/>
          <w:szCs w:val="28"/>
        </w:rPr>
        <w:t xml:space="preserve"> </w:t>
      </w:r>
      <w:r w:rsidRPr="00114390">
        <w:rPr>
          <w:sz w:val="28"/>
          <w:szCs w:val="28"/>
          <w:lang w:val="en-US"/>
        </w:rPr>
        <w:t>một trong hai loại hình nhà ở công vụ, bao gồm:</w:t>
      </w:r>
    </w:p>
    <w:p w:rsidR="0092146B" w:rsidRPr="00114390" w:rsidRDefault="0092146B" w:rsidP="00114390">
      <w:pPr>
        <w:widowControl w:val="0"/>
        <w:spacing w:before="240" w:line="257" w:lineRule="auto"/>
        <w:ind w:firstLine="567"/>
        <w:jc w:val="both"/>
        <w:rPr>
          <w:color w:val="000000"/>
          <w:sz w:val="28"/>
          <w:szCs w:val="28"/>
        </w:rPr>
      </w:pPr>
      <w:r w:rsidRPr="00114390">
        <w:rPr>
          <w:color w:val="000000"/>
          <w:sz w:val="28"/>
          <w:szCs w:val="28"/>
        </w:rPr>
        <w:t xml:space="preserve">a) Căn hộ chung cư có diện tích sử dụng từ </w:t>
      </w:r>
      <w:r w:rsidRPr="00114390">
        <w:rPr>
          <w:color w:val="000000"/>
          <w:sz w:val="28"/>
          <w:szCs w:val="28"/>
          <w:lang w:val="en-US"/>
        </w:rPr>
        <w:t>45</w:t>
      </w:r>
      <w:r w:rsidRPr="00114390">
        <w:rPr>
          <w:color w:val="000000"/>
          <w:sz w:val="28"/>
          <w:szCs w:val="28"/>
        </w:rPr>
        <w:t xml:space="preserve"> m</w:t>
      </w:r>
      <w:r w:rsidRPr="00114390">
        <w:rPr>
          <w:color w:val="000000"/>
          <w:sz w:val="28"/>
          <w:szCs w:val="28"/>
          <w:vertAlign w:val="superscript"/>
        </w:rPr>
        <w:t>2</w:t>
      </w:r>
      <w:r w:rsidRPr="00114390">
        <w:rPr>
          <w:color w:val="000000"/>
          <w:sz w:val="28"/>
          <w:szCs w:val="28"/>
        </w:rPr>
        <w:t xml:space="preserve"> đến dưới </w:t>
      </w:r>
      <w:r w:rsidRPr="00114390">
        <w:rPr>
          <w:color w:val="000000"/>
          <w:sz w:val="28"/>
          <w:szCs w:val="28"/>
          <w:lang w:val="en-US"/>
        </w:rPr>
        <w:t>6</w:t>
      </w:r>
      <w:r w:rsidRPr="00114390">
        <w:rPr>
          <w:color w:val="000000"/>
          <w:sz w:val="28"/>
          <w:szCs w:val="28"/>
        </w:rPr>
        <w:t>0 m</w:t>
      </w:r>
      <w:r w:rsidRPr="00114390">
        <w:rPr>
          <w:color w:val="000000"/>
          <w:sz w:val="28"/>
          <w:szCs w:val="28"/>
          <w:vertAlign w:val="superscript"/>
        </w:rPr>
        <w:t>2</w:t>
      </w:r>
      <w:r w:rsidRPr="00114390">
        <w:rPr>
          <w:color w:val="000000"/>
          <w:sz w:val="28"/>
          <w:szCs w:val="28"/>
        </w:rPr>
        <w:t xml:space="preserve"> được thiết kế không gian ở khép kín, có một hay nhiều không gian chức năng khác nhau như: Phòng khách, các phòng ngủ, phòng ăn, bếp, khu vệ sinh, ban công hoặc lô gia;</w:t>
      </w:r>
    </w:p>
    <w:p w:rsidR="0092146B" w:rsidRPr="00114390" w:rsidRDefault="0092146B" w:rsidP="00114390">
      <w:pPr>
        <w:widowControl w:val="0"/>
        <w:spacing w:before="240" w:line="257" w:lineRule="auto"/>
        <w:ind w:firstLine="567"/>
        <w:jc w:val="both"/>
        <w:rPr>
          <w:color w:val="000000"/>
          <w:sz w:val="28"/>
          <w:szCs w:val="28"/>
          <w:lang w:val="en-US"/>
        </w:rPr>
      </w:pPr>
      <w:r w:rsidRPr="00114390">
        <w:rPr>
          <w:color w:val="000000"/>
          <w:sz w:val="28"/>
          <w:szCs w:val="28"/>
        </w:rPr>
        <w:t xml:space="preserve">b) Căn nhà có diện tích sử dụng từ </w:t>
      </w:r>
      <w:r w:rsidR="00011170" w:rsidRPr="00114390">
        <w:rPr>
          <w:color w:val="000000"/>
          <w:sz w:val="28"/>
          <w:szCs w:val="28"/>
          <w:lang w:val="en-US"/>
        </w:rPr>
        <w:t>48</w:t>
      </w:r>
      <w:r w:rsidRPr="00114390">
        <w:rPr>
          <w:color w:val="000000"/>
          <w:sz w:val="28"/>
          <w:szCs w:val="28"/>
        </w:rPr>
        <w:t xml:space="preserve"> m</w:t>
      </w:r>
      <w:r w:rsidRPr="00114390">
        <w:rPr>
          <w:color w:val="000000"/>
          <w:sz w:val="28"/>
          <w:szCs w:val="28"/>
          <w:vertAlign w:val="superscript"/>
        </w:rPr>
        <w:t>2</w:t>
      </w:r>
      <w:r w:rsidRPr="00114390">
        <w:rPr>
          <w:color w:val="000000"/>
          <w:sz w:val="28"/>
          <w:szCs w:val="28"/>
        </w:rPr>
        <w:t xml:space="preserve"> đến</w:t>
      </w:r>
      <w:r w:rsidRPr="00114390">
        <w:rPr>
          <w:color w:val="000000"/>
          <w:sz w:val="28"/>
          <w:szCs w:val="28"/>
          <w:lang w:val="en-US"/>
        </w:rPr>
        <w:t xml:space="preserve"> dưới</w:t>
      </w:r>
      <w:r w:rsidRPr="00114390">
        <w:rPr>
          <w:color w:val="000000"/>
          <w:sz w:val="28"/>
          <w:szCs w:val="28"/>
        </w:rPr>
        <w:t xml:space="preserve"> </w:t>
      </w:r>
      <w:r w:rsidR="00011170" w:rsidRPr="00114390">
        <w:rPr>
          <w:color w:val="000000"/>
          <w:sz w:val="28"/>
          <w:szCs w:val="28"/>
          <w:lang w:val="en-US"/>
        </w:rPr>
        <w:t>60</w:t>
      </w:r>
      <w:r w:rsidRPr="00114390">
        <w:rPr>
          <w:color w:val="000000"/>
          <w:sz w:val="28"/>
          <w:szCs w:val="28"/>
        </w:rPr>
        <w:t xml:space="preserve"> m</w:t>
      </w:r>
      <w:r w:rsidRPr="00114390">
        <w:rPr>
          <w:color w:val="000000"/>
          <w:sz w:val="28"/>
          <w:szCs w:val="28"/>
          <w:vertAlign w:val="superscript"/>
        </w:rPr>
        <w:t>2</w:t>
      </w:r>
      <w:r w:rsidRPr="00114390">
        <w:rPr>
          <w:color w:val="000000"/>
          <w:sz w:val="28"/>
          <w:szCs w:val="28"/>
        </w:rPr>
        <w:t xml:space="preserve"> được xây dựng theo kiểu nhà 01 tầng có nhiều căn nhà sát nhau, từng căn nhà có công trình phụ khép kín</w:t>
      </w:r>
      <w:r w:rsidR="0031360D">
        <w:rPr>
          <w:color w:val="000000"/>
          <w:sz w:val="28"/>
          <w:szCs w:val="28"/>
          <w:lang w:val="en-US"/>
        </w:rPr>
        <w:t>.</w:t>
      </w:r>
    </w:p>
    <w:p w:rsidR="0092146B" w:rsidRPr="00114390" w:rsidRDefault="0092146B" w:rsidP="00114390">
      <w:pPr>
        <w:widowControl w:val="0"/>
        <w:spacing w:before="240" w:line="257" w:lineRule="auto"/>
        <w:ind w:firstLine="567"/>
        <w:jc w:val="both"/>
        <w:rPr>
          <w:color w:val="000000"/>
          <w:sz w:val="28"/>
          <w:szCs w:val="28"/>
        </w:rPr>
      </w:pPr>
      <w:r w:rsidRPr="00114390">
        <w:rPr>
          <w:color w:val="000000"/>
          <w:sz w:val="28"/>
          <w:szCs w:val="28"/>
          <w:lang w:val="en-US"/>
        </w:rPr>
        <w:t>2.</w:t>
      </w:r>
      <w:r w:rsidRPr="00114390">
        <w:rPr>
          <w:color w:val="000000"/>
          <w:sz w:val="28"/>
          <w:szCs w:val="28"/>
        </w:rPr>
        <w:t xml:space="preserve"> </w:t>
      </w:r>
      <w:r w:rsidRPr="00114390">
        <w:rPr>
          <w:sz w:val="28"/>
          <w:szCs w:val="28"/>
        </w:rPr>
        <w:t>Định mức kinh phí tối đa trang</w:t>
      </w:r>
      <w:r w:rsidRPr="00114390">
        <w:rPr>
          <w:sz w:val="28"/>
          <w:szCs w:val="28"/>
          <w:lang w:val="en-US"/>
        </w:rPr>
        <w:t xml:space="preserve"> thiết</w:t>
      </w:r>
      <w:r w:rsidRPr="00114390">
        <w:rPr>
          <w:sz w:val="28"/>
          <w:szCs w:val="28"/>
        </w:rPr>
        <w:t xml:space="preserve"> bị nội thất </w:t>
      </w:r>
      <w:r w:rsidRPr="00114390">
        <w:rPr>
          <w:sz w:val="28"/>
          <w:szCs w:val="28"/>
          <w:lang w:val="en-US"/>
        </w:rPr>
        <w:t xml:space="preserve">cho </w:t>
      </w:r>
      <w:r w:rsidRPr="00114390">
        <w:rPr>
          <w:sz w:val="28"/>
          <w:szCs w:val="28"/>
        </w:rPr>
        <w:t>nhà ở công vụ</w:t>
      </w:r>
      <w:r w:rsidRPr="00114390">
        <w:rPr>
          <w:sz w:val="28"/>
          <w:szCs w:val="28"/>
          <w:lang w:val="en-US"/>
        </w:rPr>
        <w:t xml:space="preserve"> </w:t>
      </w:r>
      <w:r w:rsidR="00E8091D">
        <w:rPr>
          <w:sz w:val="28"/>
          <w:szCs w:val="28"/>
          <w:lang w:val="en-US"/>
        </w:rPr>
        <w:t xml:space="preserve">                   </w:t>
      </w:r>
      <w:r w:rsidRPr="00114390">
        <w:rPr>
          <w:sz w:val="28"/>
          <w:szCs w:val="28"/>
          <w:lang w:val="en-US"/>
        </w:rPr>
        <w:t>quy định tại khoản 1 Điều này</w:t>
      </w:r>
      <w:r w:rsidRPr="00114390">
        <w:rPr>
          <w:sz w:val="28"/>
          <w:szCs w:val="28"/>
        </w:rPr>
        <w:t xml:space="preserve"> </w:t>
      </w:r>
      <w:r w:rsidRPr="00114390">
        <w:rPr>
          <w:color w:val="000000"/>
          <w:sz w:val="28"/>
          <w:szCs w:val="28"/>
        </w:rPr>
        <w:t xml:space="preserve">là </w:t>
      </w:r>
      <w:r w:rsidRPr="00114390">
        <w:rPr>
          <w:color w:val="000000"/>
          <w:sz w:val="28"/>
          <w:szCs w:val="28"/>
          <w:lang w:val="en-US"/>
        </w:rPr>
        <w:t>1</w:t>
      </w:r>
      <w:r w:rsidR="00011170" w:rsidRPr="00114390">
        <w:rPr>
          <w:color w:val="000000"/>
          <w:sz w:val="28"/>
          <w:szCs w:val="28"/>
          <w:lang w:val="en-US"/>
        </w:rPr>
        <w:t>2</w:t>
      </w:r>
      <w:r w:rsidRPr="00114390">
        <w:rPr>
          <w:color w:val="000000"/>
          <w:sz w:val="28"/>
          <w:szCs w:val="28"/>
          <w:lang w:val="en-US"/>
        </w:rPr>
        <w:t>0</w:t>
      </w:r>
      <w:r w:rsidRPr="00114390">
        <w:rPr>
          <w:color w:val="000000"/>
          <w:sz w:val="28"/>
          <w:szCs w:val="28"/>
        </w:rPr>
        <w:t xml:space="preserve"> triệu đồng.</w:t>
      </w:r>
    </w:p>
    <w:p w:rsidR="00837437" w:rsidRPr="00114390" w:rsidRDefault="00837437" w:rsidP="00114390">
      <w:pPr>
        <w:spacing w:before="240" w:line="257" w:lineRule="auto"/>
        <w:ind w:firstLine="567"/>
        <w:jc w:val="both"/>
        <w:rPr>
          <w:b/>
          <w:bCs/>
          <w:sz w:val="28"/>
          <w:szCs w:val="28"/>
        </w:rPr>
      </w:pPr>
      <w:r w:rsidRPr="00114390">
        <w:rPr>
          <w:b/>
          <w:bCs/>
          <w:sz w:val="28"/>
          <w:szCs w:val="28"/>
        </w:rPr>
        <w:t xml:space="preserve">Điều </w:t>
      </w:r>
      <w:r w:rsidR="00437A8F" w:rsidRPr="00114390">
        <w:rPr>
          <w:b/>
          <w:bCs/>
          <w:sz w:val="28"/>
          <w:szCs w:val="28"/>
          <w:lang w:val="en-US"/>
        </w:rPr>
        <w:t>5</w:t>
      </w:r>
      <w:r w:rsidRPr="00114390">
        <w:rPr>
          <w:b/>
          <w:bCs/>
          <w:sz w:val="28"/>
          <w:szCs w:val="28"/>
        </w:rPr>
        <w:t>. Tổ chức thực hiện</w:t>
      </w:r>
    </w:p>
    <w:p w:rsidR="00FF6258" w:rsidRPr="00114390" w:rsidRDefault="00837437" w:rsidP="00114390">
      <w:pPr>
        <w:spacing w:before="240" w:line="257" w:lineRule="auto"/>
        <w:ind w:firstLine="567"/>
        <w:jc w:val="both"/>
        <w:rPr>
          <w:sz w:val="28"/>
          <w:szCs w:val="28"/>
          <w:lang w:val="en-US"/>
        </w:rPr>
      </w:pPr>
      <w:r w:rsidRPr="00114390">
        <w:rPr>
          <w:sz w:val="28"/>
          <w:szCs w:val="28"/>
        </w:rPr>
        <w:t>1. Bộ Xây dựng</w:t>
      </w:r>
      <w:r w:rsidR="00437A8F" w:rsidRPr="00114390">
        <w:rPr>
          <w:sz w:val="28"/>
          <w:szCs w:val="28"/>
          <w:lang w:val="en-US"/>
        </w:rPr>
        <w:t xml:space="preserve"> có trách nhiệm h</w:t>
      </w:r>
      <w:r w:rsidR="00674BF7" w:rsidRPr="00114390">
        <w:rPr>
          <w:sz w:val="28"/>
          <w:szCs w:val="28"/>
        </w:rPr>
        <w:t>ướng dẫn, kiểm tra</w:t>
      </w:r>
      <w:r w:rsidR="00437A8F" w:rsidRPr="00114390">
        <w:rPr>
          <w:sz w:val="28"/>
          <w:szCs w:val="28"/>
          <w:lang w:val="en-US"/>
        </w:rPr>
        <w:t xml:space="preserve"> </w:t>
      </w:r>
      <w:r w:rsidR="00501BCC" w:rsidRPr="00114390">
        <w:rPr>
          <w:sz w:val="28"/>
          <w:szCs w:val="28"/>
        </w:rPr>
        <w:t>và</w:t>
      </w:r>
      <w:r w:rsidR="00674BF7" w:rsidRPr="00114390">
        <w:rPr>
          <w:sz w:val="28"/>
          <w:szCs w:val="28"/>
        </w:rPr>
        <w:t xml:space="preserve"> đ</w:t>
      </w:r>
      <w:r w:rsidRPr="00114390">
        <w:rPr>
          <w:sz w:val="28"/>
          <w:szCs w:val="28"/>
        </w:rPr>
        <w:t>ôn đốc các</w:t>
      </w:r>
      <w:r w:rsidR="00E8091D">
        <w:rPr>
          <w:sz w:val="28"/>
          <w:szCs w:val="28"/>
          <w:lang w:val="en-US"/>
        </w:rPr>
        <w:t xml:space="preserve">                        </w:t>
      </w:r>
      <w:r w:rsidRPr="00114390">
        <w:rPr>
          <w:sz w:val="28"/>
          <w:szCs w:val="28"/>
        </w:rPr>
        <w:t xml:space="preserve"> địa phương trên cả nước triển khai thực hiện Quyết định này</w:t>
      </w:r>
      <w:r w:rsidR="00682029" w:rsidRPr="00114390">
        <w:rPr>
          <w:sz w:val="28"/>
          <w:szCs w:val="28"/>
          <w:lang w:val="en-US"/>
        </w:rPr>
        <w:t>.</w:t>
      </w:r>
    </w:p>
    <w:p w:rsidR="00E41757" w:rsidRPr="00114390" w:rsidRDefault="00437A8F" w:rsidP="00114390">
      <w:pPr>
        <w:spacing w:before="240" w:line="257" w:lineRule="auto"/>
        <w:ind w:firstLine="567"/>
        <w:jc w:val="both"/>
        <w:rPr>
          <w:spacing w:val="4"/>
          <w:sz w:val="28"/>
          <w:szCs w:val="28"/>
        </w:rPr>
      </w:pPr>
      <w:r w:rsidRPr="00114390">
        <w:rPr>
          <w:spacing w:val="4"/>
          <w:sz w:val="28"/>
          <w:szCs w:val="28"/>
          <w:lang w:val="en-US"/>
        </w:rPr>
        <w:t>2</w:t>
      </w:r>
      <w:r w:rsidR="00837437" w:rsidRPr="00114390">
        <w:rPr>
          <w:spacing w:val="4"/>
          <w:sz w:val="28"/>
          <w:szCs w:val="28"/>
        </w:rPr>
        <w:t xml:space="preserve">. </w:t>
      </w:r>
      <w:r w:rsidR="00E41757" w:rsidRPr="00114390">
        <w:rPr>
          <w:spacing w:val="4"/>
          <w:sz w:val="28"/>
          <w:szCs w:val="28"/>
        </w:rPr>
        <w:t xml:space="preserve">Trách nhiệm của </w:t>
      </w:r>
      <w:r w:rsidR="00837437" w:rsidRPr="00114390">
        <w:rPr>
          <w:spacing w:val="4"/>
          <w:sz w:val="28"/>
          <w:szCs w:val="28"/>
        </w:rPr>
        <w:t xml:space="preserve">Ủy ban nhân dân các tỉnh, thành phố trực thuộc </w:t>
      </w:r>
      <w:r w:rsidR="00114390" w:rsidRPr="00114390">
        <w:rPr>
          <w:spacing w:val="4"/>
          <w:sz w:val="28"/>
          <w:szCs w:val="28"/>
          <w:lang w:val="en-US"/>
        </w:rPr>
        <w:t>t</w:t>
      </w:r>
      <w:r w:rsidR="00837437" w:rsidRPr="00114390">
        <w:rPr>
          <w:spacing w:val="4"/>
          <w:sz w:val="28"/>
          <w:szCs w:val="28"/>
        </w:rPr>
        <w:t>rung ương</w:t>
      </w:r>
    </w:p>
    <w:p w:rsidR="004E04EE" w:rsidRPr="00114390" w:rsidRDefault="001901D1" w:rsidP="00114390">
      <w:pPr>
        <w:spacing w:before="240" w:line="257" w:lineRule="auto"/>
        <w:ind w:firstLine="567"/>
        <w:jc w:val="both"/>
        <w:rPr>
          <w:sz w:val="28"/>
          <w:szCs w:val="28"/>
          <w:lang w:val="en-US"/>
        </w:rPr>
      </w:pPr>
      <w:r w:rsidRPr="00114390">
        <w:rPr>
          <w:sz w:val="28"/>
          <w:szCs w:val="28"/>
          <w:lang w:val="en-US"/>
        </w:rPr>
        <w:t>a</w:t>
      </w:r>
      <w:r w:rsidR="004E04EE" w:rsidRPr="00114390">
        <w:rPr>
          <w:sz w:val="28"/>
          <w:szCs w:val="28"/>
          <w:lang w:val="en-US"/>
        </w:rPr>
        <w:t xml:space="preserve">) Bố trí </w:t>
      </w:r>
      <w:r w:rsidR="002945C5" w:rsidRPr="00114390">
        <w:rPr>
          <w:sz w:val="28"/>
          <w:szCs w:val="28"/>
          <w:lang w:val="en-US"/>
        </w:rPr>
        <w:t>vốn</w:t>
      </w:r>
      <w:r w:rsidR="004E04EE" w:rsidRPr="00114390">
        <w:rPr>
          <w:sz w:val="28"/>
          <w:szCs w:val="28"/>
          <w:lang w:val="en-US"/>
        </w:rPr>
        <w:t xml:space="preserve"> từ ngân sách địa phương để đầu tư</w:t>
      </w:r>
      <w:r w:rsidR="00CA5726" w:rsidRPr="00114390">
        <w:rPr>
          <w:sz w:val="28"/>
          <w:szCs w:val="28"/>
          <w:lang w:val="en-US"/>
        </w:rPr>
        <w:t xml:space="preserve"> xây dựng</w:t>
      </w:r>
      <w:r w:rsidR="00031369" w:rsidRPr="00114390">
        <w:rPr>
          <w:sz w:val="28"/>
          <w:szCs w:val="28"/>
          <w:lang w:val="en-US"/>
        </w:rPr>
        <w:t>,</w:t>
      </w:r>
      <w:r w:rsidR="004E04EE" w:rsidRPr="00114390">
        <w:rPr>
          <w:sz w:val="28"/>
          <w:szCs w:val="28"/>
          <w:lang w:val="en-US"/>
        </w:rPr>
        <w:t xml:space="preserve"> </w:t>
      </w:r>
      <w:r w:rsidR="00D931CE" w:rsidRPr="00114390">
        <w:rPr>
          <w:sz w:val="28"/>
          <w:szCs w:val="28"/>
          <w:lang w:val="en-US"/>
        </w:rPr>
        <w:t xml:space="preserve">cải tạo, </w:t>
      </w:r>
      <w:r w:rsidR="00E8091D">
        <w:rPr>
          <w:sz w:val="28"/>
          <w:szCs w:val="28"/>
          <w:lang w:val="en-US"/>
        </w:rPr>
        <w:t xml:space="preserve">                    </w:t>
      </w:r>
      <w:r w:rsidR="00D931CE" w:rsidRPr="00114390">
        <w:rPr>
          <w:sz w:val="28"/>
          <w:szCs w:val="28"/>
          <w:lang w:val="en-US"/>
        </w:rPr>
        <w:t xml:space="preserve">sửa chữa, </w:t>
      </w:r>
      <w:r w:rsidR="004C49B8" w:rsidRPr="00114390">
        <w:rPr>
          <w:sz w:val="28"/>
          <w:szCs w:val="28"/>
          <w:lang w:val="en-US"/>
        </w:rPr>
        <w:t xml:space="preserve">mua </w:t>
      </w:r>
      <w:r w:rsidR="00100884" w:rsidRPr="00114390">
        <w:rPr>
          <w:sz w:val="28"/>
          <w:szCs w:val="28"/>
          <w:lang w:val="en-US"/>
        </w:rPr>
        <w:t>t</w:t>
      </w:r>
      <w:r w:rsidR="004E04EE" w:rsidRPr="00114390">
        <w:rPr>
          <w:sz w:val="28"/>
          <w:szCs w:val="28"/>
          <w:lang w:val="en-US"/>
        </w:rPr>
        <w:t>rang thiết bị nội thất nhà ở công vụ</w:t>
      </w:r>
      <w:r w:rsidR="002945C5" w:rsidRPr="00114390">
        <w:rPr>
          <w:sz w:val="28"/>
          <w:szCs w:val="28"/>
          <w:lang w:val="en-US"/>
        </w:rPr>
        <w:t xml:space="preserve"> theo quy định</w:t>
      </w:r>
      <w:r w:rsidR="00FA4D8C" w:rsidRPr="00114390">
        <w:rPr>
          <w:sz w:val="28"/>
          <w:szCs w:val="28"/>
          <w:lang w:val="en-US"/>
        </w:rPr>
        <w:t>;</w:t>
      </w:r>
    </w:p>
    <w:p w:rsidR="00837437" w:rsidRPr="00114390" w:rsidRDefault="001901D1" w:rsidP="00114390">
      <w:pPr>
        <w:spacing w:before="240" w:line="257" w:lineRule="auto"/>
        <w:ind w:firstLine="567"/>
        <w:jc w:val="both"/>
        <w:rPr>
          <w:sz w:val="28"/>
          <w:szCs w:val="28"/>
          <w:lang w:val="en-US"/>
        </w:rPr>
      </w:pPr>
      <w:r w:rsidRPr="00114390">
        <w:rPr>
          <w:sz w:val="28"/>
          <w:szCs w:val="28"/>
          <w:lang w:val="en-US"/>
        </w:rPr>
        <w:t>b</w:t>
      </w:r>
      <w:r w:rsidR="00E41757" w:rsidRPr="00114390">
        <w:rPr>
          <w:sz w:val="28"/>
          <w:szCs w:val="28"/>
        </w:rPr>
        <w:t>)</w:t>
      </w:r>
      <w:r w:rsidR="00837437" w:rsidRPr="00114390">
        <w:rPr>
          <w:sz w:val="28"/>
          <w:szCs w:val="28"/>
        </w:rPr>
        <w:t xml:space="preserve"> </w:t>
      </w:r>
      <w:r w:rsidR="00E41757" w:rsidRPr="00114390">
        <w:rPr>
          <w:sz w:val="28"/>
          <w:szCs w:val="28"/>
        </w:rPr>
        <w:t>C</w:t>
      </w:r>
      <w:r w:rsidR="00837437" w:rsidRPr="00114390">
        <w:rPr>
          <w:sz w:val="28"/>
          <w:szCs w:val="28"/>
        </w:rPr>
        <w:t xml:space="preserve">hỉ đạo việc </w:t>
      </w:r>
      <w:r w:rsidR="00E12AF1" w:rsidRPr="00114390">
        <w:rPr>
          <w:sz w:val="28"/>
          <w:szCs w:val="28"/>
          <w:lang w:val="en-US"/>
        </w:rPr>
        <w:t xml:space="preserve">phát triển, </w:t>
      </w:r>
      <w:r w:rsidR="00837437" w:rsidRPr="00114390">
        <w:rPr>
          <w:sz w:val="28"/>
          <w:szCs w:val="28"/>
        </w:rPr>
        <w:t>quản lý</w:t>
      </w:r>
      <w:r w:rsidR="002945C5" w:rsidRPr="00114390">
        <w:rPr>
          <w:sz w:val="28"/>
          <w:szCs w:val="28"/>
          <w:lang w:val="en-US"/>
        </w:rPr>
        <w:t xml:space="preserve">, </w:t>
      </w:r>
      <w:r w:rsidR="00E12AF1" w:rsidRPr="00114390">
        <w:rPr>
          <w:sz w:val="28"/>
          <w:szCs w:val="28"/>
          <w:lang w:val="en-US"/>
        </w:rPr>
        <w:t>bố trí cho thuê</w:t>
      </w:r>
      <w:r w:rsidR="00514A80" w:rsidRPr="00114390">
        <w:rPr>
          <w:sz w:val="28"/>
          <w:szCs w:val="28"/>
        </w:rPr>
        <w:t xml:space="preserve"> </w:t>
      </w:r>
      <w:r w:rsidR="00837437" w:rsidRPr="00114390">
        <w:rPr>
          <w:sz w:val="28"/>
          <w:szCs w:val="28"/>
        </w:rPr>
        <w:t>nhà ở công vụ</w:t>
      </w:r>
      <w:r w:rsidR="00B245A8" w:rsidRPr="00114390">
        <w:rPr>
          <w:sz w:val="28"/>
          <w:szCs w:val="28"/>
          <w:lang w:val="en-US"/>
        </w:rPr>
        <w:t>, chuyển đổi công năng</w:t>
      </w:r>
      <w:r w:rsidR="00966261" w:rsidRPr="00114390">
        <w:rPr>
          <w:sz w:val="28"/>
          <w:szCs w:val="28"/>
          <w:lang w:val="en-US"/>
        </w:rPr>
        <w:t xml:space="preserve"> quỹ nhà dôi dư</w:t>
      </w:r>
      <w:r w:rsidR="00B245A8" w:rsidRPr="00114390">
        <w:rPr>
          <w:sz w:val="28"/>
          <w:szCs w:val="28"/>
          <w:lang w:val="en-US"/>
        </w:rPr>
        <w:t xml:space="preserve"> sang nhà ở công vụ</w:t>
      </w:r>
      <w:r w:rsidR="00837437" w:rsidRPr="00114390">
        <w:rPr>
          <w:sz w:val="28"/>
          <w:szCs w:val="28"/>
        </w:rPr>
        <w:t xml:space="preserve"> trên địa bàn theo quy định </w:t>
      </w:r>
      <w:r w:rsidR="00A043FC" w:rsidRPr="00114390">
        <w:rPr>
          <w:sz w:val="28"/>
          <w:szCs w:val="28"/>
          <w:lang w:val="en-US"/>
        </w:rPr>
        <w:t>của pháp luật về nhà ở</w:t>
      </w:r>
      <w:r w:rsidR="00E12AF1" w:rsidRPr="00114390">
        <w:rPr>
          <w:sz w:val="28"/>
          <w:szCs w:val="28"/>
          <w:lang w:val="en-US"/>
        </w:rPr>
        <w:t xml:space="preserve"> và phù hợp với điều kiện thực tế của địa phương.</w:t>
      </w:r>
    </w:p>
    <w:p w:rsidR="00837437" w:rsidRPr="00114390" w:rsidRDefault="00837437" w:rsidP="00114390">
      <w:pPr>
        <w:spacing w:before="240" w:line="257" w:lineRule="auto"/>
        <w:ind w:firstLine="567"/>
        <w:jc w:val="both"/>
        <w:rPr>
          <w:b/>
          <w:bCs/>
          <w:sz w:val="28"/>
          <w:szCs w:val="28"/>
        </w:rPr>
      </w:pPr>
      <w:r w:rsidRPr="00114390">
        <w:rPr>
          <w:b/>
          <w:bCs/>
          <w:sz w:val="28"/>
          <w:szCs w:val="28"/>
        </w:rPr>
        <w:t xml:space="preserve">Điều </w:t>
      </w:r>
      <w:r w:rsidR="00553C06" w:rsidRPr="00114390">
        <w:rPr>
          <w:b/>
          <w:bCs/>
          <w:sz w:val="28"/>
          <w:szCs w:val="28"/>
        </w:rPr>
        <w:t>6</w:t>
      </w:r>
      <w:r w:rsidRPr="00114390">
        <w:rPr>
          <w:b/>
          <w:bCs/>
          <w:sz w:val="28"/>
          <w:szCs w:val="28"/>
        </w:rPr>
        <w:t xml:space="preserve">. </w:t>
      </w:r>
      <w:r w:rsidR="00882A68" w:rsidRPr="00114390">
        <w:rPr>
          <w:b/>
          <w:bCs/>
          <w:sz w:val="28"/>
          <w:szCs w:val="28"/>
        </w:rPr>
        <w:t>Điều khoản</w:t>
      </w:r>
      <w:r w:rsidRPr="00114390">
        <w:rPr>
          <w:b/>
          <w:bCs/>
          <w:sz w:val="28"/>
          <w:szCs w:val="28"/>
        </w:rPr>
        <w:t xml:space="preserve"> thi hành</w:t>
      </w:r>
    </w:p>
    <w:p w:rsidR="00837437" w:rsidRPr="00114390" w:rsidRDefault="00882A68" w:rsidP="00114390">
      <w:pPr>
        <w:spacing w:before="240" w:line="257" w:lineRule="auto"/>
        <w:ind w:firstLine="567"/>
        <w:jc w:val="both"/>
        <w:rPr>
          <w:sz w:val="28"/>
          <w:szCs w:val="28"/>
        </w:rPr>
      </w:pPr>
      <w:r w:rsidRPr="00114390">
        <w:rPr>
          <w:sz w:val="28"/>
          <w:szCs w:val="28"/>
        </w:rPr>
        <w:t xml:space="preserve">1. </w:t>
      </w:r>
      <w:r w:rsidR="00837437" w:rsidRPr="00114390">
        <w:rPr>
          <w:sz w:val="28"/>
          <w:szCs w:val="28"/>
        </w:rPr>
        <w:t xml:space="preserve">Quyết định này có hiệu lực </w:t>
      </w:r>
      <w:r w:rsidR="0031360D">
        <w:rPr>
          <w:sz w:val="28"/>
          <w:szCs w:val="28"/>
          <w:lang w:val="en-US"/>
        </w:rPr>
        <w:t xml:space="preserve">thi hành </w:t>
      </w:r>
      <w:r w:rsidR="00837437" w:rsidRPr="00114390">
        <w:rPr>
          <w:sz w:val="28"/>
          <w:szCs w:val="28"/>
        </w:rPr>
        <w:t xml:space="preserve">kể từ ngày </w:t>
      </w:r>
      <w:r w:rsidR="00437A8F" w:rsidRPr="00114390">
        <w:rPr>
          <w:sz w:val="28"/>
          <w:szCs w:val="28"/>
          <w:lang w:val="en-US"/>
        </w:rPr>
        <w:t>ký ban hành</w:t>
      </w:r>
      <w:r w:rsidR="00837437" w:rsidRPr="00114390">
        <w:rPr>
          <w:sz w:val="28"/>
          <w:szCs w:val="28"/>
        </w:rPr>
        <w:t>.</w:t>
      </w:r>
    </w:p>
    <w:p w:rsidR="00837437" w:rsidRPr="0031360D" w:rsidRDefault="00882A68" w:rsidP="00114390">
      <w:pPr>
        <w:spacing w:before="240" w:line="257" w:lineRule="auto"/>
        <w:ind w:firstLine="567"/>
        <w:jc w:val="both"/>
        <w:rPr>
          <w:spacing w:val="4"/>
          <w:sz w:val="28"/>
          <w:szCs w:val="28"/>
        </w:rPr>
      </w:pPr>
      <w:r w:rsidRPr="00114390">
        <w:rPr>
          <w:sz w:val="28"/>
          <w:szCs w:val="28"/>
        </w:rPr>
        <w:lastRenderedPageBreak/>
        <w:t>2.</w:t>
      </w:r>
      <w:r w:rsidR="00837437" w:rsidRPr="00114390">
        <w:rPr>
          <w:sz w:val="28"/>
          <w:szCs w:val="28"/>
        </w:rPr>
        <w:t xml:space="preserve"> </w:t>
      </w:r>
      <w:r w:rsidR="00A5114C" w:rsidRPr="00114390">
        <w:rPr>
          <w:sz w:val="28"/>
          <w:szCs w:val="28"/>
          <w:lang w:val="en-US"/>
        </w:rPr>
        <w:t>Bộ trưởng Bộ Xây dựng</w:t>
      </w:r>
      <w:r w:rsidR="00837437" w:rsidRPr="00114390">
        <w:rPr>
          <w:sz w:val="28"/>
          <w:szCs w:val="28"/>
        </w:rPr>
        <w:t xml:space="preserve">, Chủ tịch Ủy ban nhân dân các tỉnh, thành phố </w:t>
      </w:r>
      <w:r w:rsidR="00837437" w:rsidRPr="0031360D">
        <w:rPr>
          <w:spacing w:val="4"/>
          <w:sz w:val="28"/>
          <w:szCs w:val="28"/>
        </w:rPr>
        <w:t xml:space="preserve">trực thuộc </w:t>
      </w:r>
      <w:r w:rsidR="0031360D" w:rsidRPr="0031360D">
        <w:rPr>
          <w:spacing w:val="4"/>
          <w:sz w:val="28"/>
          <w:szCs w:val="28"/>
          <w:lang w:val="en-US"/>
        </w:rPr>
        <w:t>t</w:t>
      </w:r>
      <w:r w:rsidR="00837437" w:rsidRPr="0031360D">
        <w:rPr>
          <w:spacing w:val="4"/>
          <w:sz w:val="28"/>
          <w:szCs w:val="28"/>
        </w:rPr>
        <w:t xml:space="preserve">rung ương, Thủ trưởng các cơ quan, tổ chức có liên quan và </w:t>
      </w:r>
      <w:r w:rsidR="00E8091D">
        <w:rPr>
          <w:spacing w:val="4"/>
          <w:sz w:val="28"/>
          <w:szCs w:val="28"/>
          <w:lang w:val="en-US"/>
        </w:rPr>
        <w:t xml:space="preserve">                    </w:t>
      </w:r>
      <w:r w:rsidR="00CA63CE" w:rsidRPr="0031360D">
        <w:rPr>
          <w:spacing w:val="4"/>
          <w:sz w:val="28"/>
          <w:szCs w:val="28"/>
          <w:lang w:val="en-US"/>
        </w:rPr>
        <w:t>cán bộ, công chức, viên chức</w:t>
      </w:r>
      <w:r w:rsidR="007B7986" w:rsidRPr="0031360D">
        <w:rPr>
          <w:spacing w:val="4"/>
          <w:sz w:val="28"/>
          <w:szCs w:val="28"/>
          <w:lang w:val="en-US"/>
        </w:rPr>
        <w:t xml:space="preserve"> </w:t>
      </w:r>
      <w:r w:rsidR="00837437" w:rsidRPr="0031360D">
        <w:rPr>
          <w:spacing w:val="4"/>
          <w:sz w:val="28"/>
          <w:szCs w:val="28"/>
        </w:rPr>
        <w:t>thuê nhà ở công vụ chịu trách nhiệm thi hành Quyết định này.</w:t>
      </w:r>
    </w:p>
    <w:p w:rsidR="00114390" w:rsidRPr="00114390" w:rsidRDefault="00114390" w:rsidP="00114390">
      <w:pPr>
        <w:spacing w:before="240" w:line="257" w:lineRule="auto"/>
        <w:ind w:firstLine="567"/>
        <w:jc w:val="both"/>
        <w:rPr>
          <w:sz w:val="16"/>
          <w:szCs w:val="28"/>
        </w:rPr>
      </w:pPr>
    </w:p>
    <w:tbl>
      <w:tblPr>
        <w:tblW w:w="9072" w:type="dxa"/>
        <w:tblLayout w:type="fixed"/>
        <w:tblLook w:val="01E0" w:firstRow="1" w:lastRow="1" w:firstColumn="1" w:lastColumn="1" w:noHBand="0" w:noVBand="0"/>
      </w:tblPr>
      <w:tblGrid>
        <w:gridCol w:w="5387"/>
        <w:gridCol w:w="3685"/>
      </w:tblGrid>
      <w:tr w:rsidR="00114390" w:rsidRPr="00142A5E" w:rsidTr="00114390">
        <w:trPr>
          <w:trHeight w:val="1666"/>
        </w:trPr>
        <w:tc>
          <w:tcPr>
            <w:tcW w:w="5387" w:type="dxa"/>
          </w:tcPr>
          <w:p w:rsidR="00114390" w:rsidRDefault="00114390" w:rsidP="00114390">
            <w:pPr>
              <w:ind w:left="-74" w:right="-140"/>
              <w:rPr>
                <w:sz w:val="22"/>
              </w:rPr>
            </w:pPr>
            <w:r w:rsidRPr="00114390">
              <w:rPr>
                <w:b/>
                <w:bCs/>
                <w:i/>
              </w:rPr>
              <w:t>Nơi nhận:</w:t>
            </w:r>
            <w:r w:rsidRPr="00114390">
              <w:rPr>
                <w:b/>
                <w:bCs/>
                <w:i/>
                <w:sz w:val="22"/>
              </w:rPr>
              <w:br/>
            </w:r>
            <w:r w:rsidRPr="00966261">
              <w:rPr>
                <w:sz w:val="22"/>
              </w:rPr>
              <w:t>- Ban Bí thư Trung ương Đảng;</w:t>
            </w:r>
            <w:r w:rsidRPr="00966261">
              <w:rPr>
                <w:sz w:val="22"/>
              </w:rPr>
              <w:br/>
              <w:t>- Thủ tướng, các Phó Thủ tướng Chính phủ;</w:t>
            </w:r>
            <w:r w:rsidRPr="00966261">
              <w:rPr>
                <w:sz w:val="22"/>
              </w:rPr>
              <w:br/>
              <w:t xml:space="preserve">- Các </w:t>
            </w:r>
            <w:r>
              <w:rPr>
                <w:sz w:val="22"/>
                <w:lang w:val="en-US"/>
              </w:rPr>
              <w:t>b</w:t>
            </w:r>
            <w:r w:rsidRPr="00966261">
              <w:rPr>
                <w:sz w:val="22"/>
              </w:rPr>
              <w:t xml:space="preserve">ộ, cơ quan ngang </w:t>
            </w:r>
            <w:r>
              <w:rPr>
                <w:sz w:val="22"/>
                <w:lang w:val="en-US"/>
              </w:rPr>
              <w:t>b</w:t>
            </w:r>
            <w:r w:rsidRPr="00966261">
              <w:rPr>
                <w:sz w:val="22"/>
              </w:rPr>
              <w:t>ộ, cơ quan thuộc Chính phủ;</w:t>
            </w:r>
            <w:r w:rsidRPr="00966261">
              <w:rPr>
                <w:sz w:val="22"/>
              </w:rPr>
              <w:br/>
              <w:t xml:space="preserve">- HĐND, UBND </w:t>
            </w:r>
            <w:r w:rsidRPr="00966261">
              <w:rPr>
                <w:spacing w:val="-6"/>
                <w:sz w:val="22"/>
              </w:rPr>
              <w:t xml:space="preserve">các tỉnh, thành phố trực thuộc </w:t>
            </w:r>
            <w:r>
              <w:rPr>
                <w:spacing w:val="-6"/>
                <w:sz w:val="22"/>
                <w:lang w:val="en-US"/>
              </w:rPr>
              <w:t>t</w:t>
            </w:r>
            <w:r w:rsidRPr="00966261">
              <w:rPr>
                <w:spacing w:val="-6"/>
                <w:sz w:val="22"/>
              </w:rPr>
              <w:t>rung ương;</w:t>
            </w:r>
            <w:r w:rsidRPr="00966261">
              <w:rPr>
                <w:spacing w:val="-6"/>
                <w:sz w:val="22"/>
              </w:rPr>
              <w:br/>
            </w:r>
            <w:r w:rsidRPr="00966261">
              <w:rPr>
                <w:sz w:val="22"/>
              </w:rPr>
              <w:t>- Văn phòng Trung ương và các Ban của Đảng;</w:t>
            </w:r>
            <w:r w:rsidRPr="00966261">
              <w:rPr>
                <w:sz w:val="22"/>
              </w:rPr>
              <w:br/>
              <w:t>- Văn phòng Tổng Bí thư;</w:t>
            </w:r>
            <w:r w:rsidRPr="00966261">
              <w:rPr>
                <w:sz w:val="22"/>
              </w:rPr>
              <w:br/>
              <w:t>- Văn phòng Chủ tịch nước;</w:t>
            </w:r>
            <w:r w:rsidRPr="00966261">
              <w:rPr>
                <w:sz w:val="22"/>
              </w:rPr>
              <w:br/>
              <w:t>- Hội đồng Dân tộc và các Ủy ban của Quốc hội;</w:t>
            </w:r>
            <w:r w:rsidRPr="00966261">
              <w:rPr>
                <w:sz w:val="22"/>
              </w:rPr>
              <w:br/>
              <w:t>- Văn phòng Quốc hội;</w:t>
            </w:r>
            <w:r w:rsidRPr="00966261">
              <w:rPr>
                <w:sz w:val="22"/>
              </w:rPr>
              <w:br/>
              <w:t>- Tòa án nhân dân tối cao;</w:t>
            </w:r>
            <w:r w:rsidRPr="00966261">
              <w:rPr>
                <w:sz w:val="22"/>
              </w:rPr>
              <w:br/>
              <w:t xml:space="preserve">- Viện </w:t>
            </w:r>
            <w:r>
              <w:rPr>
                <w:sz w:val="22"/>
                <w:lang w:val="en-US"/>
              </w:rPr>
              <w:t>k</w:t>
            </w:r>
            <w:r w:rsidRPr="00966261">
              <w:rPr>
                <w:sz w:val="22"/>
              </w:rPr>
              <w:t>iểm sát nhân dân tối cao;</w:t>
            </w:r>
            <w:r w:rsidRPr="00966261">
              <w:rPr>
                <w:sz w:val="22"/>
              </w:rPr>
              <w:br/>
              <w:t xml:space="preserve">- Kiểm toán </w:t>
            </w:r>
            <w:r>
              <w:rPr>
                <w:sz w:val="22"/>
                <w:lang w:val="en-US"/>
              </w:rPr>
              <w:t>n</w:t>
            </w:r>
            <w:r w:rsidRPr="00966261">
              <w:rPr>
                <w:sz w:val="22"/>
              </w:rPr>
              <w:t>hà nước;</w:t>
            </w:r>
            <w:r w:rsidRPr="00966261">
              <w:rPr>
                <w:sz w:val="22"/>
              </w:rPr>
              <w:br/>
              <w:t>- Ủy ban Trung ương Mặt trận Tổ quốc Việt Nam;</w:t>
            </w:r>
            <w:r w:rsidRPr="00966261">
              <w:rPr>
                <w:sz w:val="22"/>
              </w:rPr>
              <w:br/>
              <w:t xml:space="preserve">- Cơ quan </w:t>
            </w:r>
            <w:r>
              <w:rPr>
                <w:sz w:val="22"/>
                <w:lang w:val="en-US"/>
              </w:rPr>
              <w:t>t</w:t>
            </w:r>
            <w:r w:rsidRPr="00966261">
              <w:rPr>
                <w:sz w:val="22"/>
              </w:rPr>
              <w:t xml:space="preserve">rung ương của các </w:t>
            </w:r>
            <w:r>
              <w:rPr>
                <w:sz w:val="22"/>
                <w:lang w:val="en-US"/>
              </w:rPr>
              <w:t>tổ chức chính trị - xã hội</w:t>
            </w:r>
            <w:r w:rsidRPr="00966261">
              <w:rPr>
                <w:sz w:val="22"/>
              </w:rPr>
              <w:t>;</w:t>
            </w:r>
            <w:r w:rsidRPr="00966261">
              <w:rPr>
                <w:sz w:val="22"/>
              </w:rPr>
              <w:br/>
              <w:t>- VPCP: BTCN, các PCN, Trợ lý TTg, TGĐ Cổng TTĐT,</w:t>
            </w:r>
          </w:p>
          <w:p w:rsidR="00114390" w:rsidRPr="00142A5E" w:rsidRDefault="00114390" w:rsidP="00114390">
            <w:pPr>
              <w:ind w:left="-74" w:right="-140"/>
            </w:pPr>
            <w:r>
              <w:rPr>
                <w:b/>
                <w:bCs/>
                <w:i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 xml:space="preserve"> </w:t>
            </w:r>
            <w:r w:rsidRPr="00966261">
              <w:rPr>
                <w:sz w:val="22"/>
              </w:rPr>
              <w:t>các Vụ, Cục, đơn vị trực thuộc, Công báo;</w:t>
            </w:r>
            <w:r w:rsidRPr="00966261">
              <w:rPr>
                <w:sz w:val="22"/>
              </w:rPr>
              <w:br/>
              <w:t xml:space="preserve">- Lưu: VT, </w:t>
            </w:r>
            <w:r w:rsidRPr="00966261">
              <w:rPr>
                <w:sz w:val="22"/>
                <w:lang w:val="en-US"/>
              </w:rPr>
              <w:t>C</w:t>
            </w:r>
            <w:r w:rsidRPr="00966261">
              <w:rPr>
                <w:sz w:val="22"/>
              </w:rPr>
              <w:t>N (</w:t>
            </w:r>
            <w:r w:rsidRPr="00966261">
              <w:rPr>
                <w:sz w:val="22"/>
                <w:lang w:val="en-US"/>
              </w:rPr>
              <w:t>2</w:t>
            </w:r>
            <w:r w:rsidRPr="00966261">
              <w:rPr>
                <w:sz w:val="22"/>
              </w:rPr>
              <w:t>b).</w:t>
            </w:r>
          </w:p>
        </w:tc>
        <w:tc>
          <w:tcPr>
            <w:tcW w:w="3685" w:type="dxa"/>
          </w:tcPr>
          <w:p w:rsidR="00E8091D" w:rsidRPr="00E8091D" w:rsidRDefault="00E8091D" w:rsidP="00E8091D">
            <w:pPr>
              <w:jc w:val="center"/>
              <w:rPr>
                <w:b/>
                <w:noProof/>
                <w:color w:val="000000" w:themeColor="text1"/>
                <w:spacing w:val="-6"/>
                <w:sz w:val="28"/>
                <w:lang w:eastAsia="en-US"/>
              </w:rPr>
            </w:pPr>
            <w:r w:rsidRPr="00E8091D">
              <w:rPr>
                <w:b/>
                <w:noProof/>
                <w:color w:val="000000" w:themeColor="text1"/>
                <w:spacing w:val="-6"/>
                <w:sz w:val="28"/>
                <w:lang w:val="en-US" w:eastAsia="en-US"/>
              </w:rPr>
              <w:t xml:space="preserve">KT. </w:t>
            </w:r>
            <w:r w:rsidRPr="00E8091D">
              <w:rPr>
                <w:b/>
                <w:noProof/>
                <w:color w:val="000000" w:themeColor="text1"/>
                <w:spacing w:val="-6"/>
                <w:sz w:val="28"/>
                <w:lang w:eastAsia="en-US"/>
              </w:rPr>
              <w:t>THỦ TƯỚNG</w:t>
            </w:r>
          </w:p>
          <w:p w:rsidR="00E8091D" w:rsidRPr="00E8091D" w:rsidRDefault="00E8091D" w:rsidP="00E8091D">
            <w:pPr>
              <w:jc w:val="center"/>
              <w:rPr>
                <w:b/>
                <w:noProof/>
                <w:color w:val="000000" w:themeColor="text1"/>
                <w:spacing w:val="-6"/>
                <w:sz w:val="28"/>
                <w:lang w:val="en-US" w:eastAsia="en-US"/>
              </w:rPr>
            </w:pPr>
            <w:r w:rsidRPr="00E8091D">
              <w:rPr>
                <w:b/>
                <w:noProof/>
                <w:color w:val="000000" w:themeColor="text1"/>
                <w:spacing w:val="-6"/>
                <w:sz w:val="28"/>
                <w:lang w:val="en-US" w:eastAsia="en-US"/>
              </w:rPr>
              <w:t>PHÓ THỦ TƯỚNG</w:t>
            </w:r>
          </w:p>
          <w:p w:rsidR="00E8091D" w:rsidRPr="00E8091D" w:rsidRDefault="00E8091D" w:rsidP="00E8091D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noProof/>
                <w:color w:val="000000" w:themeColor="text1"/>
                <w:sz w:val="18"/>
                <w:szCs w:val="26"/>
                <w:lang w:eastAsia="en-US"/>
              </w:rPr>
            </w:pPr>
          </w:p>
          <w:p w:rsidR="00E8091D" w:rsidRPr="00E8091D" w:rsidRDefault="00E8091D" w:rsidP="00E8091D">
            <w:pPr>
              <w:widowControl w:val="0"/>
              <w:autoSpaceDE w:val="0"/>
              <w:autoSpaceDN w:val="0"/>
              <w:adjustRightInd w:val="0"/>
              <w:jc w:val="center"/>
              <w:textAlignment w:val="center"/>
              <w:rPr>
                <w:b/>
                <w:noProof/>
                <w:color w:val="FFFFFF" w:themeColor="background1"/>
                <w:szCs w:val="26"/>
                <w:lang w:eastAsia="en-US"/>
              </w:rPr>
            </w:pPr>
            <w:r w:rsidRPr="00E8091D">
              <w:rPr>
                <w:b/>
                <w:noProof/>
                <w:color w:val="FFFFFF" w:themeColor="background1"/>
                <w:sz w:val="96"/>
                <w:szCs w:val="26"/>
                <w:lang w:eastAsia="en-US"/>
              </w:rPr>
              <w:t>[</w:t>
            </w:r>
            <w:r w:rsidRPr="00E8091D">
              <w:rPr>
                <w:b/>
                <w:noProof/>
                <w:color w:val="FFFFFF" w:themeColor="background1"/>
                <w:sz w:val="112"/>
                <w:szCs w:val="26"/>
                <w:lang w:eastAsia="en-US"/>
              </w:rPr>
              <w:t>daky</w:t>
            </w:r>
            <w:r w:rsidRPr="00E8091D">
              <w:rPr>
                <w:b/>
                <w:noProof/>
                <w:color w:val="FFFFFF" w:themeColor="background1"/>
                <w:sz w:val="96"/>
                <w:szCs w:val="26"/>
                <w:lang w:eastAsia="en-US"/>
              </w:rPr>
              <w:t>]</w:t>
            </w:r>
          </w:p>
          <w:p w:rsidR="00E8091D" w:rsidRPr="00E8091D" w:rsidRDefault="00E8091D" w:rsidP="00E8091D">
            <w:pPr>
              <w:widowControl w:val="0"/>
              <w:tabs>
                <w:tab w:val="left" w:pos="795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/>
                <w:bCs/>
                <w:noProof/>
                <w:color w:val="000000" w:themeColor="text1"/>
                <w:sz w:val="18"/>
                <w:szCs w:val="26"/>
                <w:lang w:eastAsia="en-US"/>
              </w:rPr>
            </w:pPr>
          </w:p>
          <w:p w:rsidR="00114390" w:rsidRPr="00114390" w:rsidRDefault="00E8091D" w:rsidP="00E8091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8091D">
              <w:rPr>
                <w:b/>
                <w:noProof/>
                <w:color w:val="000000" w:themeColor="text1"/>
                <w:sz w:val="28"/>
                <w:szCs w:val="28"/>
                <w:lang w:val="en-US" w:eastAsia="en-US"/>
              </w:rPr>
              <w:t>Trần Hồng Hà</w:t>
            </w:r>
          </w:p>
        </w:tc>
      </w:tr>
    </w:tbl>
    <w:p w:rsidR="00114390" w:rsidRDefault="00114390" w:rsidP="00114390">
      <w:pPr>
        <w:spacing w:before="240"/>
        <w:ind w:firstLine="567"/>
        <w:jc w:val="both"/>
        <w:rPr>
          <w:spacing w:val="-6"/>
          <w:sz w:val="27"/>
          <w:szCs w:val="27"/>
        </w:rPr>
      </w:pPr>
    </w:p>
    <w:p w:rsidR="00114390" w:rsidRPr="00F64FC2" w:rsidRDefault="00114390" w:rsidP="00114390">
      <w:pPr>
        <w:spacing w:before="240"/>
        <w:ind w:firstLine="567"/>
        <w:jc w:val="both"/>
        <w:rPr>
          <w:spacing w:val="-6"/>
          <w:sz w:val="27"/>
          <w:szCs w:val="27"/>
        </w:rPr>
      </w:pPr>
    </w:p>
    <w:p w:rsidR="00837437" w:rsidRPr="00EF12B3" w:rsidRDefault="00837437" w:rsidP="00275005">
      <w:pPr>
        <w:spacing w:before="120" w:after="120" w:line="320" w:lineRule="exact"/>
        <w:ind w:firstLine="567"/>
        <w:jc w:val="both"/>
        <w:rPr>
          <w:sz w:val="28"/>
        </w:rPr>
      </w:pPr>
      <w:r w:rsidRPr="00EF12B3">
        <w:rPr>
          <w:sz w:val="28"/>
        </w:rPr>
        <w:t> </w:t>
      </w:r>
    </w:p>
    <w:sectPr w:rsidR="00837437" w:rsidRPr="00EF12B3" w:rsidSect="00114390">
      <w:headerReference w:type="default" r:id="rId11"/>
      <w:pgSz w:w="11906" w:h="16838" w:code="9"/>
      <w:pgMar w:top="1418" w:right="1134" w:bottom="1134" w:left="1985" w:header="68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C6D" w:rsidRDefault="00A30C6D" w:rsidP="00823E98">
      <w:r>
        <w:separator/>
      </w:r>
    </w:p>
  </w:endnote>
  <w:endnote w:type="continuationSeparator" w:id="0">
    <w:p w:rsidR="00A30C6D" w:rsidRDefault="00A30C6D" w:rsidP="0082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C6D" w:rsidRDefault="00A30C6D" w:rsidP="00823E98">
      <w:r>
        <w:separator/>
      </w:r>
    </w:p>
  </w:footnote>
  <w:footnote w:type="continuationSeparator" w:id="0">
    <w:p w:rsidR="00A30C6D" w:rsidRDefault="00A30C6D" w:rsidP="0082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E98" w:rsidRPr="00114390" w:rsidRDefault="00823E98">
    <w:pPr>
      <w:pStyle w:val="Header"/>
      <w:jc w:val="center"/>
      <w:rPr>
        <w:sz w:val="28"/>
        <w:szCs w:val="28"/>
      </w:rPr>
    </w:pPr>
    <w:r w:rsidRPr="00114390">
      <w:rPr>
        <w:sz w:val="28"/>
        <w:szCs w:val="28"/>
      </w:rPr>
      <w:fldChar w:fldCharType="begin"/>
    </w:r>
    <w:r w:rsidRPr="00114390">
      <w:rPr>
        <w:sz w:val="28"/>
        <w:szCs w:val="28"/>
      </w:rPr>
      <w:instrText xml:space="preserve"> PAGE   \* MERGEFORMAT </w:instrText>
    </w:r>
    <w:r w:rsidRPr="00114390">
      <w:rPr>
        <w:sz w:val="28"/>
        <w:szCs w:val="28"/>
      </w:rPr>
      <w:fldChar w:fldCharType="separate"/>
    </w:r>
    <w:r w:rsidR="00351DD1">
      <w:rPr>
        <w:noProof/>
        <w:sz w:val="28"/>
        <w:szCs w:val="28"/>
      </w:rPr>
      <w:t>3</w:t>
    </w:r>
    <w:r w:rsidRPr="00114390">
      <w:rPr>
        <w:noProof/>
        <w:sz w:val="28"/>
        <w:szCs w:val="28"/>
      </w:rPr>
      <w:fldChar w:fldCharType="end"/>
    </w:r>
  </w:p>
  <w:p w:rsidR="00823E98" w:rsidRDefault="00823E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5E2"/>
    <w:multiLevelType w:val="multilevel"/>
    <w:tmpl w:val="B26E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05"/>
    <w:rsid w:val="0000352E"/>
    <w:rsid w:val="0000655A"/>
    <w:rsid w:val="000078F8"/>
    <w:rsid w:val="00011170"/>
    <w:rsid w:val="000120EA"/>
    <w:rsid w:val="00021BE9"/>
    <w:rsid w:val="00025D11"/>
    <w:rsid w:val="00027DBD"/>
    <w:rsid w:val="00031369"/>
    <w:rsid w:val="0004135D"/>
    <w:rsid w:val="000419FF"/>
    <w:rsid w:val="00042A29"/>
    <w:rsid w:val="0004717C"/>
    <w:rsid w:val="00056533"/>
    <w:rsid w:val="00056CFE"/>
    <w:rsid w:val="00060207"/>
    <w:rsid w:val="000652C4"/>
    <w:rsid w:val="00067A8A"/>
    <w:rsid w:val="00073019"/>
    <w:rsid w:val="000735CF"/>
    <w:rsid w:val="0007389E"/>
    <w:rsid w:val="00074F77"/>
    <w:rsid w:val="00083392"/>
    <w:rsid w:val="00083485"/>
    <w:rsid w:val="00092F0B"/>
    <w:rsid w:val="0009363B"/>
    <w:rsid w:val="00093AC5"/>
    <w:rsid w:val="000971A5"/>
    <w:rsid w:val="000A12B2"/>
    <w:rsid w:val="000A4857"/>
    <w:rsid w:val="000A530E"/>
    <w:rsid w:val="000B566C"/>
    <w:rsid w:val="000C5761"/>
    <w:rsid w:val="000C5D02"/>
    <w:rsid w:val="000C5DDE"/>
    <w:rsid w:val="000C7B2B"/>
    <w:rsid w:val="000C7C52"/>
    <w:rsid w:val="000D1A95"/>
    <w:rsid w:val="000D2CE0"/>
    <w:rsid w:val="000D3A33"/>
    <w:rsid w:val="000D4596"/>
    <w:rsid w:val="000D5CBF"/>
    <w:rsid w:val="000D606F"/>
    <w:rsid w:val="000D7415"/>
    <w:rsid w:val="000E155C"/>
    <w:rsid w:val="000E20A4"/>
    <w:rsid w:val="000F20A5"/>
    <w:rsid w:val="000F233E"/>
    <w:rsid w:val="00100884"/>
    <w:rsid w:val="001052A6"/>
    <w:rsid w:val="0010680A"/>
    <w:rsid w:val="00111996"/>
    <w:rsid w:val="00111CD7"/>
    <w:rsid w:val="00113055"/>
    <w:rsid w:val="001141C2"/>
    <w:rsid w:val="00114390"/>
    <w:rsid w:val="0011524A"/>
    <w:rsid w:val="0011744E"/>
    <w:rsid w:val="0012132D"/>
    <w:rsid w:val="00122506"/>
    <w:rsid w:val="001227B9"/>
    <w:rsid w:val="001303A7"/>
    <w:rsid w:val="0013490B"/>
    <w:rsid w:val="001401D9"/>
    <w:rsid w:val="00146D58"/>
    <w:rsid w:val="0014724F"/>
    <w:rsid w:val="0015001E"/>
    <w:rsid w:val="001528E6"/>
    <w:rsid w:val="001530F5"/>
    <w:rsid w:val="001566A8"/>
    <w:rsid w:val="0015787B"/>
    <w:rsid w:val="00161692"/>
    <w:rsid w:val="0016267F"/>
    <w:rsid w:val="00162AC9"/>
    <w:rsid w:val="001702EC"/>
    <w:rsid w:val="0017306A"/>
    <w:rsid w:val="00173287"/>
    <w:rsid w:val="00175BAC"/>
    <w:rsid w:val="00175C1E"/>
    <w:rsid w:val="00181C55"/>
    <w:rsid w:val="00187DD1"/>
    <w:rsid w:val="001901D1"/>
    <w:rsid w:val="00192698"/>
    <w:rsid w:val="00196C19"/>
    <w:rsid w:val="001A07D3"/>
    <w:rsid w:val="001A155A"/>
    <w:rsid w:val="001A1FAD"/>
    <w:rsid w:val="001A47C2"/>
    <w:rsid w:val="001A769B"/>
    <w:rsid w:val="001B5FA6"/>
    <w:rsid w:val="001C30DF"/>
    <w:rsid w:val="001C3DF8"/>
    <w:rsid w:val="001C4057"/>
    <w:rsid w:val="001D2962"/>
    <w:rsid w:val="001D33C3"/>
    <w:rsid w:val="001D5BF6"/>
    <w:rsid w:val="001E09D1"/>
    <w:rsid w:val="001E0C66"/>
    <w:rsid w:val="001E6B94"/>
    <w:rsid w:val="001F3D84"/>
    <w:rsid w:val="001F4903"/>
    <w:rsid w:val="001F70B6"/>
    <w:rsid w:val="002023C7"/>
    <w:rsid w:val="00202F1C"/>
    <w:rsid w:val="00203175"/>
    <w:rsid w:val="00204328"/>
    <w:rsid w:val="00205D0B"/>
    <w:rsid w:val="0021068A"/>
    <w:rsid w:val="00211A7A"/>
    <w:rsid w:val="002220DC"/>
    <w:rsid w:val="00224EE9"/>
    <w:rsid w:val="0023446F"/>
    <w:rsid w:val="00236BA0"/>
    <w:rsid w:val="00242E42"/>
    <w:rsid w:val="00247541"/>
    <w:rsid w:val="00251C35"/>
    <w:rsid w:val="00254D39"/>
    <w:rsid w:val="00260F90"/>
    <w:rsid w:val="002629C5"/>
    <w:rsid w:val="0026713E"/>
    <w:rsid w:val="002672C9"/>
    <w:rsid w:val="00267EF6"/>
    <w:rsid w:val="00271650"/>
    <w:rsid w:val="00273F54"/>
    <w:rsid w:val="00274091"/>
    <w:rsid w:val="00275005"/>
    <w:rsid w:val="00282E6E"/>
    <w:rsid w:val="002945C5"/>
    <w:rsid w:val="00295102"/>
    <w:rsid w:val="0029597C"/>
    <w:rsid w:val="00296468"/>
    <w:rsid w:val="002A29CA"/>
    <w:rsid w:val="002A4F0B"/>
    <w:rsid w:val="002B278A"/>
    <w:rsid w:val="002B3222"/>
    <w:rsid w:val="002B6A0C"/>
    <w:rsid w:val="002C35B6"/>
    <w:rsid w:val="002C48EF"/>
    <w:rsid w:val="002C5D0F"/>
    <w:rsid w:val="002C7362"/>
    <w:rsid w:val="002D0430"/>
    <w:rsid w:val="002D3D9F"/>
    <w:rsid w:val="002D4B85"/>
    <w:rsid w:val="002D7B60"/>
    <w:rsid w:val="002E31AB"/>
    <w:rsid w:val="002E4029"/>
    <w:rsid w:val="002E6D74"/>
    <w:rsid w:val="002F2BFF"/>
    <w:rsid w:val="002F3018"/>
    <w:rsid w:val="002F3910"/>
    <w:rsid w:val="002F640C"/>
    <w:rsid w:val="00300274"/>
    <w:rsid w:val="00304047"/>
    <w:rsid w:val="00306AAA"/>
    <w:rsid w:val="0031360D"/>
    <w:rsid w:val="00314C18"/>
    <w:rsid w:val="0032045D"/>
    <w:rsid w:val="00321DEC"/>
    <w:rsid w:val="00322347"/>
    <w:rsid w:val="0033459F"/>
    <w:rsid w:val="003443F0"/>
    <w:rsid w:val="00346D76"/>
    <w:rsid w:val="00350A55"/>
    <w:rsid w:val="00351DD1"/>
    <w:rsid w:val="0035589D"/>
    <w:rsid w:val="003562A1"/>
    <w:rsid w:val="00356527"/>
    <w:rsid w:val="00356796"/>
    <w:rsid w:val="00356C76"/>
    <w:rsid w:val="00357407"/>
    <w:rsid w:val="00363F8A"/>
    <w:rsid w:val="003651B0"/>
    <w:rsid w:val="003652B7"/>
    <w:rsid w:val="00366212"/>
    <w:rsid w:val="00371BFF"/>
    <w:rsid w:val="003737E8"/>
    <w:rsid w:val="00375699"/>
    <w:rsid w:val="00376438"/>
    <w:rsid w:val="0037723B"/>
    <w:rsid w:val="003844FA"/>
    <w:rsid w:val="00385B24"/>
    <w:rsid w:val="00391701"/>
    <w:rsid w:val="00391802"/>
    <w:rsid w:val="00393DBB"/>
    <w:rsid w:val="003941B7"/>
    <w:rsid w:val="00394F1D"/>
    <w:rsid w:val="00394F6B"/>
    <w:rsid w:val="003A0F4D"/>
    <w:rsid w:val="003A2246"/>
    <w:rsid w:val="003A2B3D"/>
    <w:rsid w:val="003A5A7E"/>
    <w:rsid w:val="003B24C0"/>
    <w:rsid w:val="003B5B52"/>
    <w:rsid w:val="003C6A00"/>
    <w:rsid w:val="003D18D1"/>
    <w:rsid w:val="003D4B93"/>
    <w:rsid w:val="003D76CA"/>
    <w:rsid w:val="003E4BBB"/>
    <w:rsid w:val="003F0E5D"/>
    <w:rsid w:val="003F3B08"/>
    <w:rsid w:val="003F4FA4"/>
    <w:rsid w:val="003F5E6D"/>
    <w:rsid w:val="00401741"/>
    <w:rsid w:val="004117C5"/>
    <w:rsid w:val="00412B21"/>
    <w:rsid w:val="004137AC"/>
    <w:rsid w:val="00414A5F"/>
    <w:rsid w:val="00417BD4"/>
    <w:rsid w:val="00417DA0"/>
    <w:rsid w:val="004239A0"/>
    <w:rsid w:val="004260A3"/>
    <w:rsid w:val="004266AF"/>
    <w:rsid w:val="00427CBE"/>
    <w:rsid w:val="0043072E"/>
    <w:rsid w:val="00433BAA"/>
    <w:rsid w:val="00435B7D"/>
    <w:rsid w:val="00437A8F"/>
    <w:rsid w:val="00437DFE"/>
    <w:rsid w:val="0044382A"/>
    <w:rsid w:val="00443B43"/>
    <w:rsid w:val="004503CB"/>
    <w:rsid w:val="0045266D"/>
    <w:rsid w:val="00457B5A"/>
    <w:rsid w:val="0046153D"/>
    <w:rsid w:val="00464F80"/>
    <w:rsid w:val="00480492"/>
    <w:rsid w:val="0048254D"/>
    <w:rsid w:val="00482AC0"/>
    <w:rsid w:val="00482EF5"/>
    <w:rsid w:val="004843FB"/>
    <w:rsid w:val="004935F0"/>
    <w:rsid w:val="004950E5"/>
    <w:rsid w:val="004A1CAA"/>
    <w:rsid w:val="004A1E85"/>
    <w:rsid w:val="004A238B"/>
    <w:rsid w:val="004A2C59"/>
    <w:rsid w:val="004A5BBD"/>
    <w:rsid w:val="004A69F8"/>
    <w:rsid w:val="004B5483"/>
    <w:rsid w:val="004B5769"/>
    <w:rsid w:val="004B58E6"/>
    <w:rsid w:val="004C0B8E"/>
    <w:rsid w:val="004C4658"/>
    <w:rsid w:val="004C49B8"/>
    <w:rsid w:val="004C7512"/>
    <w:rsid w:val="004C7F92"/>
    <w:rsid w:val="004D2E93"/>
    <w:rsid w:val="004E04EE"/>
    <w:rsid w:val="004E19C4"/>
    <w:rsid w:val="004E2698"/>
    <w:rsid w:val="004E5B08"/>
    <w:rsid w:val="004E7414"/>
    <w:rsid w:val="004F2261"/>
    <w:rsid w:val="004F5CEF"/>
    <w:rsid w:val="004F7774"/>
    <w:rsid w:val="00501BCC"/>
    <w:rsid w:val="00506B3B"/>
    <w:rsid w:val="00511B93"/>
    <w:rsid w:val="005131C6"/>
    <w:rsid w:val="0051380C"/>
    <w:rsid w:val="00514A80"/>
    <w:rsid w:val="00524FEE"/>
    <w:rsid w:val="00532262"/>
    <w:rsid w:val="00534243"/>
    <w:rsid w:val="00541D0C"/>
    <w:rsid w:val="005445A5"/>
    <w:rsid w:val="00546096"/>
    <w:rsid w:val="00551727"/>
    <w:rsid w:val="00551F91"/>
    <w:rsid w:val="0055238D"/>
    <w:rsid w:val="00553C06"/>
    <w:rsid w:val="00560B79"/>
    <w:rsid w:val="00561701"/>
    <w:rsid w:val="005646A9"/>
    <w:rsid w:val="00566CA0"/>
    <w:rsid w:val="00573AD9"/>
    <w:rsid w:val="005913E4"/>
    <w:rsid w:val="005963A2"/>
    <w:rsid w:val="0059782A"/>
    <w:rsid w:val="00597B38"/>
    <w:rsid w:val="005A1305"/>
    <w:rsid w:val="005A4C31"/>
    <w:rsid w:val="005A7589"/>
    <w:rsid w:val="005A7ACD"/>
    <w:rsid w:val="005B1283"/>
    <w:rsid w:val="005B193A"/>
    <w:rsid w:val="005B300A"/>
    <w:rsid w:val="005B3A5E"/>
    <w:rsid w:val="005B5049"/>
    <w:rsid w:val="005B787F"/>
    <w:rsid w:val="005C233B"/>
    <w:rsid w:val="005D1618"/>
    <w:rsid w:val="005D5C65"/>
    <w:rsid w:val="005E0034"/>
    <w:rsid w:val="005E341E"/>
    <w:rsid w:val="005E623F"/>
    <w:rsid w:val="005F021F"/>
    <w:rsid w:val="005F06FE"/>
    <w:rsid w:val="005F0FEC"/>
    <w:rsid w:val="005F1E43"/>
    <w:rsid w:val="005F42A0"/>
    <w:rsid w:val="005F695D"/>
    <w:rsid w:val="0060008C"/>
    <w:rsid w:val="00604C43"/>
    <w:rsid w:val="006068E5"/>
    <w:rsid w:val="00607A2F"/>
    <w:rsid w:val="00607FA9"/>
    <w:rsid w:val="006150BA"/>
    <w:rsid w:val="0061597A"/>
    <w:rsid w:val="00627E49"/>
    <w:rsid w:val="00631C50"/>
    <w:rsid w:val="00633938"/>
    <w:rsid w:val="00634ED2"/>
    <w:rsid w:val="00642459"/>
    <w:rsid w:val="00643CEE"/>
    <w:rsid w:val="00651748"/>
    <w:rsid w:val="00654663"/>
    <w:rsid w:val="0065671A"/>
    <w:rsid w:val="0066163A"/>
    <w:rsid w:val="00661EE8"/>
    <w:rsid w:val="00662C0F"/>
    <w:rsid w:val="0066424B"/>
    <w:rsid w:val="00666D8B"/>
    <w:rsid w:val="00666D90"/>
    <w:rsid w:val="00674297"/>
    <w:rsid w:val="00674BF7"/>
    <w:rsid w:val="00682029"/>
    <w:rsid w:val="00682C21"/>
    <w:rsid w:val="00682EA5"/>
    <w:rsid w:val="006838EA"/>
    <w:rsid w:val="00690380"/>
    <w:rsid w:val="0069127C"/>
    <w:rsid w:val="006945D6"/>
    <w:rsid w:val="00694F4B"/>
    <w:rsid w:val="006956D5"/>
    <w:rsid w:val="006A17E5"/>
    <w:rsid w:val="006A389D"/>
    <w:rsid w:val="006A4B1A"/>
    <w:rsid w:val="006B104B"/>
    <w:rsid w:val="006B316C"/>
    <w:rsid w:val="006B328D"/>
    <w:rsid w:val="006B7643"/>
    <w:rsid w:val="006B7644"/>
    <w:rsid w:val="006C1D4F"/>
    <w:rsid w:val="006D05CD"/>
    <w:rsid w:val="006D5CB2"/>
    <w:rsid w:val="006E3158"/>
    <w:rsid w:val="006E5B97"/>
    <w:rsid w:val="006E7BEF"/>
    <w:rsid w:val="006F1855"/>
    <w:rsid w:val="006F423C"/>
    <w:rsid w:val="006F4423"/>
    <w:rsid w:val="006F4FF3"/>
    <w:rsid w:val="006F5092"/>
    <w:rsid w:val="00714171"/>
    <w:rsid w:val="00715B4F"/>
    <w:rsid w:val="0072007F"/>
    <w:rsid w:val="00720F6F"/>
    <w:rsid w:val="00724E89"/>
    <w:rsid w:val="00735258"/>
    <w:rsid w:val="00750833"/>
    <w:rsid w:val="0075228B"/>
    <w:rsid w:val="00752528"/>
    <w:rsid w:val="0075289F"/>
    <w:rsid w:val="00770BFA"/>
    <w:rsid w:val="00774251"/>
    <w:rsid w:val="00774410"/>
    <w:rsid w:val="00775D36"/>
    <w:rsid w:val="00776C2C"/>
    <w:rsid w:val="00783FA2"/>
    <w:rsid w:val="007840A1"/>
    <w:rsid w:val="007853FE"/>
    <w:rsid w:val="00792792"/>
    <w:rsid w:val="007930D2"/>
    <w:rsid w:val="00794844"/>
    <w:rsid w:val="0079574D"/>
    <w:rsid w:val="007A16E8"/>
    <w:rsid w:val="007A24F7"/>
    <w:rsid w:val="007A3CF6"/>
    <w:rsid w:val="007A6054"/>
    <w:rsid w:val="007A68BB"/>
    <w:rsid w:val="007B7986"/>
    <w:rsid w:val="007C06E9"/>
    <w:rsid w:val="007C0EC1"/>
    <w:rsid w:val="007C2A44"/>
    <w:rsid w:val="007C3B96"/>
    <w:rsid w:val="007C4061"/>
    <w:rsid w:val="007C5363"/>
    <w:rsid w:val="007D221B"/>
    <w:rsid w:val="007D3113"/>
    <w:rsid w:val="007D5BAC"/>
    <w:rsid w:val="007E1413"/>
    <w:rsid w:val="007E2BD3"/>
    <w:rsid w:val="007E2C1C"/>
    <w:rsid w:val="007F0B53"/>
    <w:rsid w:val="007F18FA"/>
    <w:rsid w:val="007F7946"/>
    <w:rsid w:val="00807D40"/>
    <w:rsid w:val="00813930"/>
    <w:rsid w:val="00815357"/>
    <w:rsid w:val="00817AF9"/>
    <w:rsid w:val="00823E98"/>
    <w:rsid w:val="00825524"/>
    <w:rsid w:val="00825B1C"/>
    <w:rsid w:val="008301D0"/>
    <w:rsid w:val="00837437"/>
    <w:rsid w:val="00837976"/>
    <w:rsid w:val="0084108B"/>
    <w:rsid w:val="00843B9B"/>
    <w:rsid w:val="00844E0E"/>
    <w:rsid w:val="00852DD5"/>
    <w:rsid w:val="008577D2"/>
    <w:rsid w:val="00864258"/>
    <w:rsid w:val="00867CFC"/>
    <w:rsid w:val="0087043E"/>
    <w:rsid w:val="008752A3"/>
    <w:rsid w:val="008770A5"/>
    <w:rsid w:val="00877FD9"/>
    <w:rsid w:val="008819ED"/>
    <w:rsid w:val="00882A68"/>
    <w:rsid w:val="00884D65"/>
    <w:rsid w:val="00886F37"/>
    <w:rsid w:val="008876B5"/>
    <w:rsid w:val="008911FA"/>
    <w:rsid w:val="0089743F"/>
    <w:rsid w:val="008A03EC"/>
    <w:rsid w:val="008A1D85"/>
    <w:rsid w:val="008A2F17"/>
    <w:rsid w:val="008A4F2C"/>
    <w:rsid w:val="008A62B2"/>
    <w:rsid w:val="008A6B6D"/>
    <w:rsid w:val="008A7179"/>
    <w:rsid w:val="008A7D91"/>
    <w:rsid w:val="008B488C"/>
    <w:rsid w:val="008C02C4"/>
    <w:rsid w:val="008C0639"/>
    <w:rsid w:val="008C329D"/>
    <w:rsid w:val="008C791A"/>
    <w:rsid w:val="008C794B"/>
    <w:rsid w:val="008D33E9"/>
    <w:rsid w:val="008D3827"/>
    <w:rsid w:val="008D480E"/>
    <w:rsid w:val="008D73BB"/>
    <w:rsid w:val="008D75FC"/>
    <w:rsid w:val="008E11F5"/>
    <w:rsid w:val="008E703B"/>
    <w:rsid w:val="008E7566"/>
    <w:rsid w:val="008F55A2"/>
    <w:rsid w:val="00900E66"/>
    <w:rsid w:val="009023B0"/>
    <w:rsid w:val="00903D1F"/>
    <w:rsid w:val="00903F15"/>
    <w:rsid w:val="00910EEC"/>
    <w:rsid w:val="00911004"/>
    <w:rsid w:val="00911653"/>
    <w:rsid w:val="00911CB2"/>
    <w:rsid w:val="00913077"/>
    <w:rsid w:val="00913AAF"/>
    <w:rsid w:val="0092146B"/>
    <w:rsid w:val="00921945"/>
    <w:rsid w:val="009239D4"/>
    <w:rsid w:val="00925C6F"/>
    <w:rsid w:val="00937110"/>
    <w:rsid w:val="0093745C"/>
    <w:rsid w:val="00940BDC"/>
    <w:rsid w:val="00943DAD"/>
    <w:rsid w:val="00943ED3"/>
    <w:rsid w:val="00944BF4"/>
    <w:rsid w:val="00951692"/>
    <w:rsid w:val="00952C20"/>
    <w:rsid w:val="00954797"/>
    <w:rsid w:val="009553CB"/>
    <w:rsid w:val="009562D0"/>
    <w:rsid w:val="009625DD"/>
    <w:rsid w:val="0096354A"/>
    <w:rsid w:val="00964ABF"/>
    <w:rsid w:val="00964AE8"/>
    <w:rsid w:val="00965417"/>
    <w:rsid w:val="00966261"/>
    <w:rsid w:val="0097218A"/>
    <w:rsid w:val="00972C58"/>
    <w:rsid w:val="009754E3"/>
    <w:rsid w:val="00975994"/>
    <w:rsid w:val="00975C6D"/>
    <w:rsid w:val="00976B9D"/>
    <w:rsid w:val="009819BB"/>
    <w:rsid w:val="00983A55"/>
    <w:rsid w:val="00984764"/>
    <w:rsid w:val="00984D1B"/>
    <w:rsid w:val="009855EC"/>
    <w:rsid w:val="00990D7F"/>
    <w:rsid w:val="009938A6"/>
    <w:rsid w:val="00993B88"/>
    <w:rsid w:val="009A0BE5"/>
    <w:rsid w:val="009B27F4"/>
    <w:rsid w:val="009B4837"/>
    <w:rsid w:val="009B4FD2"/>
    <w:rsid w:val="009B5948"/>
    <w:rsid w:val="009C0BC7"/>
    <w:rsid w:val="009C404A"/>
    <w:rsid w:val="009C4715"/>
    <w:rsid w:val="009C480A"/>
    <w:rsid w:val="009C6730"/>
    <w:rsid w:val="009D1686"/>
    <w:rsid w:val="009D2CE7"/>
    <w:rsid w:val="009D6749"/>
    <w:rsid w:val="009D7D06"/>
    <w:rsid w:val="009E0C17"/>
    <w:rsid w:val="009F450F"/>
    <w:rsid w:val="00A043FC"/>
    <w:rsid w:val="00A05814"/>
    <w:rsid w:val="00A102FE"/>
    <w:rsid w:val="00A113FB"/>
    <w:rsid w:val="00A231C9"/>
    <w:rsid w:val="00A23BE5"/>
    <w:rsid w:val="00A24447"/>
    <w:rsid w:val="00A26314"/>
    <w:rsid w:val="00A269C5"/>
    <w:rsid w:val="00A30C6D"/>
    <w:rsid w:val="00A351B2"/>
    <w:rsid w:val="00A43CE3"/>
    <w:rsid w:val="00A44042"/>
    <w:rsid w:val="00A5114C"/>
    <w:rsid w:val="00A55466"/>
    <w:rsid w:val="00A5588F"/>
    <w:rsid w:val="00A62A56"/>
    <w:rsid w:val="00A630CC"/>
    <w:rsid w:val="00A70714"/>
    <w:rsid w:val="00A759B0"/>
    <w:rsid w:val="00A77D02"/>
    <w:rsid w:val="00A77D27"/>
    <w:rsid w:val="00A803AF"/>
    <w:rsid w:val="00A807F4"/>
    <w:rsid w:val="00A86024"/>
    <w:rsid w:val="00A8691E"/>
    <w:rsid w:val="00A876C1"/>
    <w:rsid w:val="00A934AF"/>
    <w:rsid w:val="00AA61BA"/>
    <w:rsid w:val="00AA6745"/>
    <w:rsid w:val="00AA74D9"/>
    <w:rsid w:val="00AB01ED"/>
    <w:rsid w:val="00AB24F5"/>
    <w:rsid w:val="00AB4453"/>
    <w:rsid w:val="00AB462F"/>
    <w:rsid w:val="00AB65BA"/>
    <w:rsid w:val="00AC1D01"/>
    <w:rsid w:val="00AC2919"/>
    <w:rsid w:val="00AC61B6"/>
    <w:rsid w:val="00AD0E07"/>
    <w:rsid w:val="00AD1FBF"/>
    <w:rsid w:val="00AD5724"/>
    <w:rsid w:val="00AE49A8"/>
    <w:rsid w:val="00AE4B0F"/>
    <w:rsid w:val="00AE5CB3"/>
    <w:rsid w:val="00AF51DD"/>
    <w:rsid w:val="00AF5FE2"/>
    <w:rsid w:val="00AF6AF5"/>
    <w:rsid w:val="00B006B2"/>
    <w:rsid w:val="00B025CF"/>
    <w:rsid w:val="00B02789"/>
    <w:rsid w:val="00B03A31"/>
    <w:rsid w:val="00B0539A"/>
    <w:rsid w:val="00B0772C"/>
    <w:rsid w:val="00B16C35"/>
    <w:rsid w:val="00B204CC"/>
    <w:rsid w:val="00B20D80"/>
    <w:rsid w:val="00B21478"/>
    <w:rsid w:val="00B245A8"/>
    <w:rsid w:val="00B258B9"/>
    <w:rsid w:val="00B30B7F"/>
    <w:rsid w:val="00B321CF"/>
    <w:rsid w:val="00B33151"/>
    <w:rsid w:val="00B3798A"/>
    <w:rsid w:val="00B406BB"/>
    <w:rsid w:val="00B44EE4"/>
    <w:rsid w:val="00B56E3D"/>
    <w:rsid w:val="00B629C7"/>
    <w:rsid w:val="00B6342D"/>
    <w:rsid w:val="00B70E40"/>
    <w:rsid w:val="00B7435A"/>
    <w:rsid w:val="00B836F9"/>
    <w:rsid w:val="00B83DC7"/>
    <w:rsid w:val="00B84EDE"/>
    <w:rsid w:val="00B85C41"/>
    <w:rsid w:val="00BA0041"/>
    <w:rsid w:val="00BA0ADF"/>
    <w:rsid w:val="00BA647E"/>
    <w:rsid w:val="00BA735D"/>
    <w:rsid w:val="00BB094C"/>
    <w:rsid w:val="00BB0CD2"/>
    <w:rsid w:val="00BB15D7"/>
    <w:rsid w:val="00BB65D4"/>
    <w:rsid w:val="00BB7EDB"/>
    <w:rsid w:val="00BC7912"/>
    <w:rsid w:val="00BC7D44"/>
    <w:rsid w:val="00BD2E64"/>
    <w:rsid w:val="00BD332C"/>
    <w:rsid w:val="00BD5E12"/>
    <w:rsid w:val="00BE258E"/>
    <w:rsid w:val="00BE57DC"/>
    <w:rsid w:val="00BE74E9"/>
    <w:rsid w:val="00BF4650"/>
    <w:rsid w:val="00BF7FE7"/>
    <w:rsid w:val="00C01DFC"/>
    <w:rsid w:val="00C02C65"/>
    <w:rsid w:val="00C03EA9"/>
    <w:rsid w:val="00C0481C"/>
    <w:rsid w:val="00C04C19"/>
    <w:rsid w:val="00C05996"/>
    <w:rsid w:val="00C065FC"/>
    <w:rsid w:val="00C06709"/>
    <w:rsid w:val="00C13372"/>
    <w:rsid w:val="00C13547"/>
    <w:rsid w:val="00C2172F"/>
    <w:rsid w:val="00C2646D"/>
    <w:rsid w:val="00C264C2"/>
    <w:rsid w:val="00C27164"/>
    <w:rsid w:val="00C31ECC"/>
    <w:rsid w:val="00C32F77"/>
    <w:rsid w:val="00C353AD"/>
    <w:rsid w:val="00C35DED"/>
    <w:rsid w:val="00C3648D"/>
    <w:rsid w:val="00C40D96"/>
    <w:rsid w:val="00C42A26"/>
    <w:rsid w:val="00C43D28"/>
    <w:rsid w:val="00C50F4E"/>
    <w:rsid w:val="00C5313E"/>
    <w:rsid w:val="00C53216"/>
    <w:rsid w:val="00C55DC8"/>
    <w:rsid w:val="00C5687D"/>
    <w:rsid w:val="00C56DFC"/>
    <w:rsid w:val="00C633CB"/>
    <w:rsid w:val="00C65E75"/>
    <w:rsid w:val="00C67750"/>
    <w:rsid w:val="00C72969"/>
    <w:rsid w:val="00C766C0"/>
    <w:rsid w:val="00C847EC"/>
    <w:rsid w:val="00C84FCC"/>
    <w:rsid w:val="00C862FC"/>
    <w:rsid w:val="00C86AE1"/>
    <w:rsid w:val="00C90065"/>
    <w:rsid w:val="00C91A60"/>
    <w:rsid w:val="00C95D7A"/>
    <w:rsid w:val="00CA336E"/>
    <w:rsid w:val="00CA3567"/>
    <w:rsid w:val="00CA5726"/>
    <w:rsid w:val="00CA63CE"/>
    <w:rsid w:val="00CA7B21"/>
    <w:rsid w:val="00CB145A"/>
    <w:rsid w:val="00CB275F"/>
    <w:rsid w:val="00CB65C2"/>
    <w:rsid w:val="00CB6D37"/>
    <w:rsid w:val="00CC3EC0"/>
    <w:rsid w:val="00CC4452"/>
    <w:rsid w:val="00CC5D83"/>
    <w:rsid w:val="00CC63C9"/>
    <w:rsid w:val="00CC748A"/>
    <w:rsid w:val="00CD3C91"/>
    <w:rsid w:val="00CD6D7F"/>
    <w:rsid w:val="00CE3A07"/>
    <w:rsid w:val="00CE3C15"/>
    <w:rsid w:val="00CE462D"/>
    <w:rsid w:val="00CE51A4"/>
    <w:rsid w:val="00CF7379"/>
    <w:rsid w:val="00D006C6"/>
    <w:rsid w:val="00D04083"/>
    <w:rsid w:val="00D05E26"/>
    <w:rsid w:val="00D11C41"/>
    <w:rsid w:val="00D16F61"/>
    <w:rsid w:val="00D17436"/>
    <w:rsid w:val="00D17AD7"/>
    <w:rsid w:val="00D22CC1"/>
    <w:rsid w:val="00D24443"/>
    <w:rsid w:val="00D25AF6"/>
    <w:rsid w:val="00D308BD"/>
    <w:rsid w:val="00D32563"/>
    <w:rsid w:val="00D35759"/>
    <w:rsid w:val="00D36202"/>
    <w:rsid w:val="00D44F22"/>
    <w:rsid w:val="00D4727E"/>
    <w:rsid w:val="00D571D9"/>
    <w:rsid w:val="00D571DA"/>
    <w:rsid w:val="00D675AC"/>
    <w:rsid w:val="00D676D2"/>
    <w:rsid w:val="00D67D32"/>
    <w:rsid w:val="00D713DC"/>
    <w:rsid w:val="00D73587"/>
    <w:rsid w:val="00D760BF"/>
    <w:rsid w:val="00D81085"/>
    <w:rsid w:val="00D81284"/>
    <w:rsid w:val="00D831F8"/>
    <w:rsid w:val="00D8403F"/>
    <w:rsid w:val="00D87EA8"/>
    <w:rsid w:val="00D90D46"/>
    <w:rsid w:val="00D9186B"/>
    <w:rsid w:val="00D92A28"/>
    <w:rsid w:val="00D931CE"/>
    <w:rsid w:val="00DA0A66"/>
    <w:rsid w:val="00DB1B92"/>
    <w:rsid w:val="00DB3289"/>
    <w:rsid w:val="00DC6C05"/>
    <w:rsid w:val="00DD15D8"/>
    <w:rsid w:val="00DD17F9"/>
    <w:rsid w:val="00DD2341"/>
    <w:rsid w:val="00DD4D01"/>
    <w:rsid w:val="00DE0B08"/>
    <w:rsid w:val="00DE5AEC"/>
    <w:rsid w:val="00DE69E0"/>
    <w:rsid w:val="00DE757E"/>
    <w:rsid w:val="00DF26F3"/>
    <w:rsid w:val="00DF5942"/>
    <w:rsid w:val="00DF5BEC"/>
    <w:rsid w:val="00E11328"/>
    <w:rsid w:val="00E12AF1"/>
    <w:rsid w:val="00E144E4"/>
    <w:rsid w:val="00E146CC"/>
    <w:rsid w:val="00E23D1C"/>
    <w:rsid w:val="00E2514A"/>
    <w:rsid w:val="00E31945"/>
    <w:rsid w:val="00E31DAA"/>
    <w:rsid w:val="00E41757"/>
    <w:rsid w:val="00E41ABA"/>
    <w:rsid w:val="00E42124"/>
    <w:rsid w:val="00E44643"/>
    <w:rsid w:val="00E4670C"/>
    <w:rsid w:val="00E52A94"/>
    <w:rsid w:val="00E53F1F"/>
    <w:rsid w:val="00E60816"/>
    <w:rsid w:val="00E650CF"/>
    <w:rsid w:val="00E665A5"/>
    <w:rsid w:val="00E70262"/>
    <w:rsid w:val="00E74BC1"/>
    <w:rsid w:val="00E74E52"/>
    <w:rsid w:val="00E7662A"/>
    <w:rsid w:val="00E7723D"/>
    <w:rsid w:val="00E8091D"/>
    <w:rsid w:val="00E9041F"/>
    <w:rsid w:val="00E9084E"/>
    <w:rsid w:val="00E9228E"/>
    <w:rsid w:val="00EA1AE1"/>
    <w:rsid w:val="00EA4DBD"/>
    <w:rsid w:val="00EA5855"/>
    <w:rsid w:val="00EB3886"/>
    <w:rsid w:val="00EB45E0"/>
    <w:rsid w:val="00EB639D"/>
    <w:rsid w:val="00EB6D60"/>
    <w:rsid w:val="00EC0685"/>
    <w:rsid w:val="00EC23D0"/>
    <w:rsid w:val="00EC3FF3"/>
    <w:rsid w:val="00EC5E18"/>
    <w:rsid w:val="00EC76B1"/>
    <w:rsid w:val="00EC7A4C"/>
    <w:rsid w:val="00ED1585"/>
    <w:rsid w:val="00ED1672"/>
    <w:rsid w:val="00ED1FD1"/>
    <w:rsid w:val="00ED210D"/>
    <w:rsid w:val="00ED624A"/>
    <w:rsid w:val="00ED72B5"/>
    <w:rsid w:val="00EE01EE"/>
    <w:rsid w:val="00EE0FD0"/>
    <w:rsid w:val="00EE3F51"/>
    <w:rsid w:val="00EE49E6"/>
    <w:rsid w:val="00EE5987"/>
    <w:rsid w:val="00EE7153"/>
    <w:rsid w:val="00EF12B3"/>
    <w:rsid w:val="00EF2029"/>
    <w:rsid w:val="00EF240D"/>
    <w:rsid w:val="00EF2469"/>
    <w:rsid w:val="00EF5071"/>
    <w:rsid w:val="00F00A5D"/>
    <w:rsid w:val="00F00ABF"/>
    <w:rsid w:val="00F026C1"/>
    <w:rsid w:val="00F04DD3"/>
    <w:rsid w:val="00F07397"/>
    <w:rsid w:val="00F074A6"/>
    <w:rsid w:val="00F11F65"/>
    <w:rsid w:val="00F131D0"/>
    <w:rsid w:val="00F24BB2"/>
    <w:rsid w:val="00F24D8E"/>
    <w:rsid w:val="00F4651A"/>
    <w:rsid w:val="00F4741B"/>
    <w:rsid w:val="00F503DB"/>
    <w:rsid w:val="00F50650"/>
    <w:rsid w:val="00F526F4"/>
    <w:rsid w:val="00F5780E"/>
    <w:rsid w:val="00F60F59"/>
    <w:rsid w:val="00F635AB"/>
    <w:rsid w:val="00F64FC2"/>
    <w:rsid w:val="00F6546C"/>
    <w:rsid w:val="00F66066"/>
    <w:rsid w:val="00F71933"/>
    <w:rsid w:val="00F76CF1"/>
    <w:rsid w:val="00F8145B"/>
    <w:rsid w:val="00F860BC"/>
    <w:rsid w:val="00F86757"/>
    <w:rsid w:val="00F87A15"/>
    <w:rsid w:val="00F91649"/>
    <w:rsid w:val="00FA3A60"/>
    <w:rsid w:val="00FA4D8C"/>
    <w:rsid w:val="00FA6397"/>
    <w:rsid w:val="00FB0302"/>
    <w:rsid w:val="00FB07D3"/>
    <w:rsid w:val="00FB39C8"/>
    <w:rsid w:val="00FB3AB0"/>
    <w:rsid w:val="00FB3C15"/>
    <w:rsid w:val="00FB530B"/>
    <w:rsid w:val="00FB5605"/>
    <w:rsid w:val="00FB587F"/>
    <w:rsid w:val="00FB784E"/>
    <w:rsid w:val="00FD2430"/>
    <w:rsid w:val="00FD2ED3"/>
    <w:rsid w:val="00FD4BEE"/>
    <w:rsid w:val="00FD6A83"/>
    <w:rsid w:val="00FE1937"/>
    <w:rsid w:val="00FE3443"/>
    <w:rsid w:val="00FE421D"/>
    <w:rsid w:val="00FE4AD9"/>
    <w:rsid w:val="00FF0707"/>
    <w:rsid w:val="00FF6258"/>
    <w:rsid w:val="00FF767A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A4133"/>
  <w15:docId w15:val="{91F52EC5-0C74-45A7-8E9C-1828041F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vi-VN" w:eastAsia="vi-VN"/>
    </w:rPr>
  </w:style>
  <w:style w:type="paragraph" w:styleId="Heading2">
    <w:name w:val="heading 2"/>
    <w:basedOn w:val="Normal"/>
    <w:link w:val="Heading2Char"/>
    <w:uiPriority w:val="9"/>
    <w:qFormat/>
    <w:rsid w:val="009D1686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6E31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1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1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158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E3158"/>
    <w:rPr>
      <w:b/>
      <w:bCs/>
    </w:rPr>
  </w:style>
  <w:style w:type="paragraph" w:styleId="NormalWeb">
    <w:name w:val="Normal (Web)"/>
    <w:basedOn w:val="Normal"/>
    <w:uiPriority w:val="99"/>
    <w:unhideWhenUsed/>
    <w:rsid w:val="0056170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823E9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23E9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3E9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23E98"/>
    <w:rPr>
      <w:sz w:val="24"/>
      <w:szCs w:val="24"/>
    </w:rPr>
  </w:style>
  <w:style w:type="paragraph" w:styleId="Revision">
    <w:name w:val="Revision"/>
    <w:hidden/>
    <w:uiPriority w:val="99"/>
    <w:semiHidden/>
    <w:rsid w:val="004E2698"/>
    <w:rPr>
      <w:sz w:val="24"/>
      <w:szCs w:val="24"/>
      <w:lang w:val="vi-VN" w:eastAsia="vi-VN"/>
    </w:rPr>
  </w:style>
  <w:style w:type="character" w:styleId="Strong">
    <w:name w:val="Strong"/>
    <w:uiPriority w:val="22"/>
    <w:qFormat/>
    <w:rsid w:val="00437DF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F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3F8A"/>
    <w:rPr>
      <w:rFonts w:ascii="Tahoma" w:hAnsi="Tahoma" w:cs="Tahoma"/>
      <w:sz w:val="16"/>
      <w:szCs w:val="16"/>
      <w:lang w:val="vi-VN" w:eastAsia="vi-VN"/>
    </w:rPr>
  </w:style>
  <w:style w:type="character" w:customStyle="1" w:styleId="Heading2Char">
    <w:name w:val="Heading 2 Char"/>
    <w:link w:val="Heading2"/>
    <w:uiPriority w:val="9"/>
    <w:rsid w:val="009D168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EB26C-D943-4B4C-ACDF-6797E701CC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07E3F7-541C-4D64-BA3B-9BC2B66A5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616F5-F98C-45F9-8FA4-98BEE45FCA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593A0A-07B1-4F6F-B451-3FC892EA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</cp:revision>
  <cp:lastPrinted>2025-11-27T09:21:00Z</cp:lastPrinted>
  <dcterms:created xsi:type="dcterms:W3CDTF">2025-11-28T02:47:00Z</dcterms:created>
  <dcterms:modified xsi:type="dcterms:W3CDTF">2025-12-04T11:45:00Z</dcterms:modified>
</cp:coreProperties>
</file>