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62" w:type="dxa"/>
        <w:tblLayout w:type="fixed"/>
        <w:tblLook w:val="0000"/>
      </w:tblPr>
      <w:tblGrid>
        <w:gridCol w:w="3060"/>
        <w:gridCol w:w="270"/>
        <w:gridCol w:w="5580"/>
        <w:gridCol w:w="720"/>
      </w:tblGrid>
      <w:tr w:rsidR="001D3BF6" w:rsidRPr="001D3BF6" w:rsidTr="00F70A20">
        <w:tblPrEx>
          <w:tblCellMar>
            <w:top w:w="0" w:type="dxa"/>
            <w:bottom w:w="0" w:type="dxa"/>
          </w:tblCellMar>
        </w:tblPrEx>
        <w:trPr>
          <w:cantSplit/>
        </w:trPr>
        <w:tc>
          <w:tcPr>
            <w:tcW w:w="3060" w:type="dxa"/>
            <w:tcBorders>
              <w:top w:val="nil"/>
              <w:left w:val="nil"/>
              <w:bottom w:val="nil"/>
              <w:right w:val="nil"/>
            </w:tcBorders>
          </w:tcPr>
          <w:p w:rsidR="001D3BF6" w:rsidRPr="001D3BF6" w:rsidRDefault="001D3BF6" w:rsidP="001D3BF6">
            <w:pPr>
              <w:autoSpaceDE w:val="0"/>
              <w:autoSpaceDN w:val="0"/>
              <w:jc w:val="center"/>
              <w:rPr>
                <w:rFonts w:ascii="Times New Roman" w:eastAsiaTheme="minorEastAsia" w:hAnsi="Times New Roman" w:cs="Times New Roman"/>
                <w:b/>
                <w:bCs/>
                <w:color w:val="000000"/>
                <w:sz w:val="26"/>
                <w:szCs w:val="26"/>
              </w:rPr>
            </w:pPr>
            <w:r w:rsidRPr="001D3BF6">
              <w:rPr>
                <w:rFonts w:ascii="Times New Roman" w:eastAsiaTheme="minorEastAsia" w:hAnsi="Times New Roman" w:cs="Times New Roman"/>
                <w:b/>
                <w:bCs/>
                <w:color w:val="000000"/>
                <w:sz w:val="26"/>
                <w:szCs w:val="26"/>
              </w:rPr>
              <w:t>CHÍNH PHỦ</w:t>
            </w:r>
          </w:p>
          <w:p w:rsidR="001D3BF6" w:rsidRPr="001D3BF6" w:rsidRDefault="001D3BF6" w:rsidP="001D3BF6">
            <w:pPr>
              <w:autoSpaceDE w:val="0"/>
              <w:autoSpaceDN w:val="0"/>
              <w:jc w:val="center"/>
              <w:rPr>
                <w:rFonts w:ascii="Times New Roman" w:eastAsiaTheme="minorEastAsia" w:hAnsi="Times New Roman" w:cs="Times New Roman"/>
                <w:color w:val="000000"/>
                <w:sz w:val="24"/>
                <w:szCs w:val="24"/>
              </w:rPr>
            </w:pPr>
            <w:r w:rsidRPr="001D3BF6">
              <w:rPr>
                <w:rFonts w:ascii="Times New Roman" w:eastAsiaTheme="minorEastAsia" w:hAnsi="Times New Roman" w:cs="Times New Roman"/>
                <w:color w:val="000000"/>
                <w:sz w:val="24"/>
                <w:szCs w:val="24"/>
              </w:rPr>
              <w:sym w:font="Symbol" w:char="F0BE"/>
            </w:r>
            <w:r w:rsidRPr="001D3BF6">
              <w:rPr>
                <w:rFonts w:ascii="Times New Roman" w:eastAsiaTheme="minorEastAsia" w:hAnsi="Times New Roman" w:cs="Times New Roman"/>
                <w:color w:val="000000"/>
                <w:sz w:val="24"/>
                <w:szCs w:val="24"/>
              </w:rPr>
              <w:sym w:font="Symbol" w:char="F0BE"/>
            </w:r>
          </w:p>
        </w:tc>
        <w:tc>
          <w:tcPr>
            <w:tcW w:w="270" w:type="dxa"/>
            <w:tcBorders>
              <w:top w:val="nil"/>
              <w:left w:val="nil"/>
              <w:bottom w:val="nil"/>
              <w:right w:val="nil"/>
            </w:tcBorders>
          </w:tcPr>
          <w:p w:rsidR="001D3BF6" w:rsidRPr="001D3BF6" w:rsidRDefault="001D3BF6" w:rsidP="001D3BF6">
            <w:pPr>
              <w:autoSpaceDE w:val="0"/>
              <w:autoSpaceDN w:val="0"/>
              <w:jc w:val="left"/>
              <w:rPr>
                <w:rFonts w:ascii="Times New Roman" w:eastAsiaTheme="minorEastAsia" w:hAnsi="Times New Roman" w:cs="Times New Roman"/>
                <w:color w:val="000000"/>
                <w:sz w:val="24"/>
                <w:szCs w:val="24"/>
              </w:rPr>
            </w:pPr>
          </w:p>
        </w:tc>
        <w:tc>
          <w:tcPr>
            <w:tcW w:w="6300" w:type="dxa"/>
            <w:gridSpan w:val="2"/>
            <w:tcBorders>
              <w:top w:val="nil"/>
              <w:left w:val="nil"/>
              <w:bottom w:val="nil"/>
              <w:right w:val="nil"/>
            </w:tcBorders>
          </w:tcPr>
          <w:p w:rsidR="001D3BF6" w:rsidRPr="001D3BF6" w:rsidRDefault="001D3BF6" w:rsidP="001D3BF6">
            <w:pPr>
              <w:autoSpaceDE w:val="0"/>
              <w:autoSpaceDN w:val="0"/>
              <w:jc w:val="center"/>
              <w:rPr>
                <w:rFonts w:ascii="Times New Roman" w:eastAsiaTheme="minorEastAsia" w:hAnsi="Times New Roman" w:cs="Times New Roman"/>
                <w:b/>
                <w:bCs/>
                <w:color w:val="000000"/>
                <w:spacing w:val="-8"/>
                <w:sz w:val="24"/>
                <w:szCs w:val="24"/>
              </w:rPr>
            </w:pPr>
            <w:r w:rsidRPr="001D3BF6">
              <w:rPr>
                <w:rFonts w:ascii="Times New Roman" w:eastAsiaTheme="minorEastAsia" w:hAnsi="Times New Roman" w:cs="Times New Roman"/>
                <w:b/>
                <w:bCs/>
                <w:noProof/>
                <w:color w:val="000000"/>
                <w:spacing w:val="-8"/>
                <w:sz w:val="26"/>
                <w:szCs w:val="26"/>
              </w:rPr>
              <w:t>CỘNG HÒA XÃ HỘI CHỦ NGHĨA VIỆT NAM</w:t>
            </w:r>
          </w:p>
          <w:p w:rsidR="001D3BF6" w:rsidRPr="001D3BF6" w:rsidRDefault="001D3BF6" w:rsidP="001D3BF6">
            <w:pPr>
              <w:autoSpaceDE w:val="0"/>
              <w:autoSpaceDN w:val="0"/>
              <w:jc w:val="center"/>
              <w:rPr>
                <w:rFonts w:ascii="Times New Roman" w:eastAsiaTheme="minorEastAsia" w:hAnsi="Times New Roman" w:cs="Times New Roman"/>
                <w:color w:val="000000"/>
                <w:sz w:val="24"/>
                <w:szCs w:val="24"/>
              </w:rPr>
            </w:pPr>
            <w:r w:rsidRPr="001D3BF6">
              <w:rPr>
                <w:rFonts w:ascii="Times New Roman" w:eastAsiaTheme="minorEastAsia" w:hAnsi="Times New Roman" w:cs="Times New Roman"/>
                <w:b/>
                <w:bCs/>
                <w:color w:val="000000"/>
                <w:sz w:val="26"/>
                <w:szCs w:val="26"/>
              </w:rPr>
              <w:t>Độc lập - Tự do - Hạnh phúc</w:t>
            </w:r>
          </w:p>
        </w:tc>
      </w:tr>
      <w:tr w:rsidR="001D3BF6" w:rsidRPr="001D3BF6" w:rsidTr="00F70A20">
        <w:tblPrEx>
          <w:tblCellMar>
            <w:top w:w="0" w:type="dxa"/>
            <w:bottom w:w="0" w:type="dxa"/>
          </w:tblCellMar>
        </w:tblPrEx>
        <w:trPr>
          <w:cantSplit/>
        </w:trPr>
        <w:tc>
          <w:tcPr>
            <w:tcW w:w="3060" w:type="dxa"/>
            <w:tcBorders>
              <w:top w:val="nil"/>
              <w:left w:val="nil"/>
              <w:bottom w:val="nil"/>
              <w:right w:val="nil"/>
            </w:tcBorders>
          </w:tcPr>
          <w:p w:rsidR="001D3BF6" w:rsidRPr="001D3BF6" w:rsidRDefault="001D3BF6" w:rsidP="001D3BF6">
            <w:pPr>
              <w:autoSpaceDE w:val="0"/>
              <w:autoSpaceDN w:val="0"/>
              <w:jc w:val="center"/>
              <w:rPr>
                <w:rFonts w:ascii="Times New Roman" w:eastAsiaTheme="minorEastAsia" w:hAnsi="Times New Roman" w:cs="Times New Roman"/>
                <w:noProof/>
                <w:color w:val="000000"/>
                <w:sz w:val="26"/>
                <w:szCs w:val="26"/>
              </w:rPr>
            </w:pPr>
            <w:r w:rsidRPr="001D3BF6">
              <w:rPr>
                <w:rFonts w:ascii="Times New Roman" w:eastAsiaTheme="minorEastAsia" w:hAnsi="Times New Roman" w:cs="Times New Roman"/>
                <w:noProof/>
                <w:color w:val="000000"/>
                <w:sz w:val="26"/>
                <w:szCs w:val="26"/>
              </w:rPr>
              <w:t xml:space="preserve">Số : </w:t>
            </w:r>
            <w:r w:rsidRPr="001D3BF6">
              <w:rPr>
                <w:rFonts w:ascii="Times New Roman" w:eastAsiaTheme="minorEastAsia" w:hAnsi="Times New Roman" w:cs="Times New Roman"/>
                <w:b/>
                <w:bCs/>
                <w:noProof/>
                <w:color w:val="000000"/>
                <w:sz w:val="26"/>
                <w:szCs w:val="26"/>
              </w:rPr>
              <w:t>27</w:t>
            </w:r>
            <w:r w:rsidRPr="001D3BF6">
              <w:rPr>
                <w:rFonts w:ascii="Times New Roman" w:eastAsiaTheme="minorEastAsia" w:hAnsi="Times New Roman" w:cs="Times New Roman"/>
                <w:noProof/>
                <w:color w:val="000000"/>
                <w:sz w:val="26"/>
                <w:szCs w:val="26"/>
              </w:rPr>
              <w:t>/2005/NĐ-CP</w:t>
            </w:r>
          </w:p>
        </w:tc>
        <w:tc>
          <w:tcPr>
            <w:tcW w:w="270" w:type="dxa"/>
            <w:tcBorders>
              <w:top w:val="nil"/>
              <w:left w:val="nil"/>
              <w:bottom w:val="nil"/>
              <w:right w:val="nil"/>
            </w:tcBorders>
          </w:tcPr>
          <w:p w:rsidR="001D3BF6" w:rsidRPr="001D3BF6" w:rsidRDefault="001D3BF6" w:rsidP="001D3BF6">
            <w:pPr>
              <w:autoSpaceDE w:val="0"/>
              <w:autoSpaceDN w:val="0"/>
              <w:jc w:val="left"/>
              <w:rPr>
                <w:rFonts w:ascii="Times New Roman" w:eastAsiaTheme="minorEastAsia" w:hAnsi="Times New Roman" w:cs="Times New Roman"/>
                <w:color w:val="000000"/>
                <w:sz w:val="24"/>
                <w:szCs w:val="24"/>
              </w:rPr>
            </w:pPr>
          </w:p>
        </w:tc>
        <w:tc>
          <w:tcPr>
            <w:tcW w:w="5580" w:type="dxa"/>
            <w:tcBorders>
              <w:top w:val="nil"/>
              <w:left w:val="nil"/>
              <w:bottom w:val="nil"/>
              <w:right w:val="nil"/>
            </w:tcBorders>
          </w:tcPr>
          <w:p w:rsidR="001D3BF6" w:rsidRPr="001D3BF6" w:rsidRDefault="001D3BF6" w:rsidP="001D3BF6">
            <w:pPr>
              <w:autoSpaceDE w:val="0"/>
              <w:autoSpaceDN w:val="0"/>
              <w:jc w:val="center"/>
              <w:rPr>
                <w:rFonts w:ascii="Times New Roman" w:eastAsiaTheme="minorEastAsia" w:hAnsi="Times New Roman" w:cs="Times New Roman"/>
                <w:b/>
                <w:bCs/>
                <w:noProof/>
                <w:color w:val="000000"/>
                <w:sz w:val="26"/>
                <w:szCs w:val="26"/>
                <w:vertAlign w:val="superscript"/>
              </w:rPr>
            </w:pPr>
            <w:r w:rsidRPr="001D3BF6">
              <w:rPr>
                <w:rFonts w:ascii="Times New Roman" w:eastAsiaTheme="minorEastAsia" w:hAnsi="Times New Roman" w:cs="Times New Roman"/>
                <w:color w:val="000000"/>
                <w:sz w:val="24"/>
                <w:szCs w:val="24"/>
                <w:vertAlign w:val="superscript"/>
              </w:rPr>
              <w:t xml:space="preserve">                 ________________________________________________________</w:t>
            </w:r>
          </w:p>
        </w:tc>
        <w:tc>
          <w:tcPr>
            <w:tcW w:w="720" w:type="dxa"/>
            <w:tcBorders>
              <w:top w:val="nil"/>
              <w:left w:val="nil"/>
              <w:bottom w:val="nil"/>
              <w:right w:val="nil"/>
            </w:tcBorders>
          </w:tcPr>
          <w:p w:rsidR="001D3BF6" w:rsidRPr="001D3BF6" w:rsidRDefault="001D3BF6" w:rsidP="001D3BF6">
            <w:pPr>
              <w:autoSpaceDE w:val="0"/>
              <w:autoSpaceDN w:val="0"/>
              <w:jc w:val="left"/>
              <w:rPr>
                <w:rFonts w:ascii="Times New Roman" w:eastAsiaTheme="minorEastAsia" w:hAnsi="Times New Roman" w:cs="Times New Roman"/>
                <w:b/>
                <w:bCs/>
                <w:noProof/>
                <w:color w:val="000000"/>
                <w:sz w:val="18"/>
                <w:szCs w:val="18"/>
              </w:rPr>
            </w:pPr>
          </w:p>
        </w:tc>
      </w:tr>
      <w:tr w:rsidR="001D3BF6" w:rsidRPr="001D3BF6" w:rsidTr="00F70A20">
        <w:tblPrEx>
          <w:tblCellMar>
            <w:top w:w="0" w:type="dxa"/>
            <w:bottom w:w="0" w:type="dxa"/>
          </w:tblCellMar>
        </w:tblPrEx>
        <w:trPr>
          <w:cantSplit/>
        </w:trPr>
        <w:tc>
          <w:tcPr>
            <w:tcW w:w="3060" w:type="dxa"/>
            <w:tcBorders>
              <w:top w:val="nil"/>
              <w:left w:val="nil"/>
              <w:bottom w:val="nil"/>
              <w:right w:val="nil"/>
            </w:tcBorders>
          </w:tcPr>
          <w:p w:rsidR="001D3BF6" w:rsidRPr="001D3BF6" w:rsidRDefault="001D3BF6" w:rsidP="001D3BF6">
            <w:pPr>
              <w:autoSpaceDE w:val="0"/>
              <w:autoSpaceDN w:val="0"/>
              <w:jc w:val="center"/>
              <w:rPr>
                <w:rFonts w:ascii="Times New Roman" w:eastAsiaTheme="minorEastAsia" w:hAnsi="Times New Roman" w:cs="Times New Roman"/>
                <w:color w:val="000000"/>
                <w:sz w:val="26"/>
                <w:szCs w:val="26"/>
              </w:rPr>
            </w:pPr>
          </w:p>
        </w:tc>
        <w:tc>
          <w:tcPr>
            <w:tcW w:w="270" w:type="dxa"/>
            <w:tcBorders>
              <w:top w:val="nil"/>
              <w:left w:val="nil"/>
              <w:bottom w:val="nil"/>
              <w:right w:val="nil"/>
            </w:tcBorders>
          </w:tcPr>
          <w:p w:rsidR="001D3BF6" w:rsidRPr="001D3BF6" w:rsidRDefault="001D3BF6" w:rsidP="001D3BF6">
            <w:pPr>
              <w:autoSpaceDE w:val="0"/>
              <w:autoSpaceDN w:val="0"/>
              <w:jc w:val="left"/>
              <w:rPr>
                <w:rFonts w:ascii="Times New Roman" w:eastAsiaTheme="minorEastAsia" w:hAnsi="Times New Roman" w:cs="Times New Roman"/>
                <w:color w:val="000000"/>
                <w:sz w:val="24"/>
                <w:szCs w:val="24"/>
              </w:rPr>
            </w:pPr>
          </w:p>
        </w:tc>
        <w:tc>
          <w:tcPr>
            <w:tcW w:w="6300" w:type="dxa"/>
            <w:gridSpan w:val="2"/>
            <w:tcBorders>
              <w:top w:val="nil"/>
              <w:left w:val="nil"/>
              <w:bottom w:val="nil"/>
              <w:right w:val="nil"/>
            </w:tcBorders>
          </w:tcPr>
          <w:p w:rsidR="001D3BF6" w:rsidRPr="001D3BF6" w:rsidRDefault="001D3BF6" w:rsidP="001D3BF6">
            <w:pPr>
              <w:keepNext/>
              <w:autoSpaceDE w:val="0"/>
              <w:autoSpaceDN w:val="0"/>
              <w:jc w:val="center"/>
              <w:outlineLvl w:val="3"/>
              <w:rPr>
                <w:rFonts w:ascii="Times New Roman" w:eastAsiaTheme="minorEastAsia" w:hAnsi="Times New Roman" w:cs="Times New Roman"/>
                <w:b/>
                <w:bCs/>
                <w:i/>
                <w:iCs/>
                <w:color w:val="000000"/>
                <w:sz w:val="26"/>
                <w:szCs w:val="26"/>
              </w:rPr>
            </w:pPr>
            <w:r w:rsidRPr="001D3BF6">
              <w:rPr>
                <w:rFonts w:ascii="Times New Roman" w:eastAsiaTheme="minorEastAsia" w:hAnsi="Times New Roman" w:cs="Times New Roman"/>
                <w:i/>
                <w:iCs/>
                <w:color w:val="000000"/>
                <w:sz w:val="26"/>
                <w:szCs w:val="26"/>
              </w:rPr>
              <w:t>Hà Nội, ngày  08  tháng  3  năm 2005</w:t>
            </w:r>
          </w:p>
        </w:tc>
      </w:tr>
    </w:tbl>
    <w:p w:rsidR="001D3BF6" w:rsidRPr="001D3BF6" w:rsidRDefault="001D3BF6" w:rsidP="001D3BF6">
      <w:pPr>
        <w:keepNext/>
        <w:autoSpaceDE w:val="0"/>
        <w:autoSpaceDN w:val="0"/>
        <w:spacing w:before="60" w:line="320" w:lineRule="atLeast"/>
        <w:jc w:val="left"/>
        <w:outlineLvl w:val="2"/>
        <w:rPr>
          <w:rFonts w:ascii="Times New Roman" w:eastAsiaTheme="minorEastAsia" w:hAnsi="Times New Roman" w:cs="Times New Roman"/>
          <w:b/>
          <w:bCs/>
          <w:sz w:val="26"/>
          <w:szCs w:val="26"/>
        </w:rPr>
      </w:pPr>
    </w:p>
    <w:p w:rsidR="001D3BF6" w:rsidRPr="001D3BF6" w:rsidRDefault="001D3BF6" w:rsidP="001D3BF6">
      <w:pPr>
        <w:autoSpaceDE w:val="0"/>
        <w:autoSpaceDN w:val="0"/>
        <w:spacing w:before="60" w:line="320" w:lineRule="atLeast"/>
        <w:rPr>
          <w:rFonts w:ascii="Times New Roman" w:eastAsiaTheme="minorEastAsia" w:hAnsi="Times New Roman" w:cs="Times New Roman"/>
          <w:i/>
          <w:iCs/>
          <w:sz w:val="28"/>
          <w:szCs w:val="28"/>
        </w:rPr>
      </w:pPr>
    </w:p>
    <w:p w:rsidR="001D3BF6" w:rsidRPr="001D3BF6" w:rsidRDefault="001D3BF6" w:rsidP="001D3BF6">
      <w:pPr>
        <w:autoSpaceDE w:val="0"/>
        <w:autoSpaceDN w:val="0"/>
        <w:spacing w:before="240" w:line="320" w:lineRule="atLeast"/>
        <w:jc w:val="center"/>
        <w:rPr>
          <w:rFonts w:ascii="Times New Roman" w:eastAsiaTheme="minorEastAsia" w:hAnsi="Times New Roman" w:cs="Times New Roman"/>
          <w:b/>
          <w:bCs/>
          <w:sz w:val="28"/>
          <w:szCs w:val="28"/>
        </w:rPr>
      </w:pPr>
      <w:r w:rsidRPr="001D3BF6">
        <w:rPr>
          <w:rFonts w:ascii="Times New Roman" w:eastAsiaTheme="minorEastAsia" w:hAnsi="Times New Roman" w:cs="Times New Roman"/>
          <w:b/>
          <w:bCs/>
          <w:sz w:val="28"/>
          <w:szCs w:val="28"/>
        </w:rPr>
        <w:t>NGHỊ ĐỊNH CỦA CHÍNH PHỦ</w:t>
      </w:r>
    </w:p>
    <w:p w:rsidR="001D3BF6" w:rsidRPr="001D3BF6" w:rsidRDefault="001D3BF6" w:rsidP="001D3BF6">
      <w:pPr>
        <w:keepNext/>
        <w:autoSpaceDE w:val="0"/>
        <w:autoSpaceDN w:val="0"/>
        <w:spacing w:before="60" w:line="320" w:lineRule="atLeast"/>
        <w:jc w:val="center"/>
        <w:outlineLvl w:val="1"/>
        <w:rPr>
          <w:rFonts w:ascii="Times New Roman" w:eastAsiaTheme="minorEastAsia" w:hAnsi="Times New Roman" w:cs="Times New Roman"/>
          <w:b/>
          <w:bCs/>
          <w:sz w:val="28"/>
          <w:szCs w:val="28"/>
        </w:rPr>
      </w:pPr>
      <w:r w:rsidRPr="001D3BF6">
        <w:rPr>
          <w:rFonts w:ascii="Times New Roman" w:eastAsiaTheme="minorEastAsia" w:hAnsi="Times New Roman" w:cs="Times New Roman"/>
          <w:b/>
          <w:bCs/>
          <w:sz w:val="28"/>
          <w:szCs w:val="28"/>
        </w:rPr>
        <w:t>Quy định chi tiết và hướng dẫn thi hành một số điều của Luật Thủy sản</w:t>
      </w:r>
    </w:p>
    <w:p w:rsidR="001D3BF6" w:rsidRPr="001D3BF6" w:rsidRDefault="001D3BF6" w:rsidP="001D3BF6">
      <w:pPr>
        <w:autoSpaceDE w:val="0"/>
        <w:autoSpaceDN w:val="0"/>
        <w:jc w:val="center"/>
        <w:rPr>
          <w:rFonts w:ascii="Times New Roman" w:eastAsiaTheme="minorEastAsia" w:hAnsi="Times New Roman" w:cs="Times New Roman"/>
          <w:sz w:val="24"/>
          <w:szCs w:val="24"/>
        </w:rPr>
      </w:pPr>
      <w:r w:rsidRPr="001D3BF6">
        <w:rPr>
          <w:rFonts w:ascii="Times New Roman" w:eastAsiaTheme="minorEastAsia" w:hAnsi="Times New Roman" w:cs="Times New Roman"/>
          <w:sz w:val="24"/>
          <w:szCs w:val="24"/>
        </w:rPr>
        <w:t>_______</w:t>
      </w:r>
    </w:p>
    <w:p w:rsidR="001D3BF6" w:rsidRPr="001D3BF6" w:rsidRDefault="001D3BF6" w:rsidP="001D3BF6">
      <w:pPr>
        <w:autoSpaceDE w:val="0"/>
        <w:autoSpaceDN w:val="0"/>
        <w:jc w:val="left"/>
        <w:rPr>
          <w:rFonts w:ascii="Times New Roman" w:eastAsiaTheme="minorEastAsia" w:hAnsi="Times New Roman" w:cs="Times New Roman"/>
          <w:sz w:val="24"/>
          <w:szCs w:val="24"/>
        </w:rPr>
      </w:pPr>
    </w:p>
    <w:p w:rsidR="001D3BF6" w:rsidRPr="001D3BF6" w:rsidRDefault="001D3BF6" w:rsidP="001D3BF6">
      <w:pPr>
        <w:autoSpaceDE w:val="0"/>
        <w:autoSpaceDN w:val="0"/>
        <w:spacing w:before="60" w:line="320" w:lineRule="atLeast"/>
        <w:jc w:val="center"/>
        <w:rPr>
          <w:rFonts w:ascii="Times New Roman" w:eastAsiaTheme="minorEastAsia" w:hAnsi="Times New Roman" w:cs="Times New Roman"/>
          <w:b/>
          <w:bCs/>
          <w:sz w:val="28"/>
          <w:szCs w:val="28"/>
        </w:rPr>
      </w:pPr>
    </w:p>
    <w:p w:rsidR="001D3BF6" w:rsidRPr="001D3BF6" w:rsidRDefault="001D3BF6" w:rsidP="001D3BF6">
      <w:pPr>
        <w:autoSpaceDE w:val="0"/>
        <w:autoSpaceDN w:val="0"/>
        <w:spacing w:before="60" w:line="320" w:lineRule="atLeast"/>
        <w:jc w:val="center"/>
        <w:rPr>
          <w:rFonts w:ascii="Times New Roman" w:eastAsiaTheme="minorEastAsia" w:hAnsi="Times New Roman" w:cs="Times New Roman"/>
          <w:b/>
          <w:bCs/>
          <w:sz w:val="26"/>
          <w:szCs w:val="26"/>
        </w:rPr>
      </w:pPr>
      <w:r w:rsidRPr="001D3BF6">
        <w:rPr>
          <w:rFonts w:ascii="Times New Roman" w:eastAsiaTheme="minorEastAsia" w:hAnsi="Times New Roman" w:cs="Times New Roman"/>
          <w:b/>
          <w:bCs/>
          <w:sz w:val="26"/>
          <w:szCs w:val="26"/>
        </w:rPr>
        <w:t>CHÍNH PHỦ</w:t>
      </w:r>
    </w:p>
    <w:p w:rsidR="001D3BF6" w:rsidRPr="001D3BF6" w:rsidRDefault="001D3BF6" w:rsidP="001D3BF6">
      <w:pPr>
        <w:autoSpaceDE w:val="0"/>
        <w:autoSpaceDN w:val="0"/>
        <w:spacing w:before="240" w:after="60" w:line="320" w:lineRule="atLeast"/>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Căn cứ Luật Tổ chức Chính phủ ngày 25 tháng 12 năm 2001</w:t>
      </w:r>
      <w:proofErr w:type="gramStart"/>
      <w:r w:rsidRPr="001D3BF6">
        <w:rPr>
          <w:rFonts w:ascii="Times New Roman" w:eastAsiaTheme="minorEastAsia" w:hAnsi="Times New Roman" w:cs="Times New Roman"/>
          <w:sz w:val="28"/>
          <w:szCs w:val="28"/>
        </w:rPr>
        <w:t>;</w:t>
      </w:r>
      <w:proofErr w:type="gramEnd"/>
    </w:p>
    <w:p w:rsidR="001D3BF6" w:rsidRPr="001D3BF6" w:rsidRDefault="001D3BF6" w:rsidP="001D3BF6">
      <w:pPr>
        <w:autoSpaceDE w:val="0"/>
        <w:autoSpaceDN w:val="0"/>
        <w:spacing w:before="60" w:after="60" w:line="320" w:lineRule="atLeast"/>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Căn cứ Luật Thuỷ sản ngày 26 tháng 11 năm 2003</w:t>
      </w:r>
      <w:proofErr w:type="gramStart"/>
      <w:r w:rsidRPr="001D3BF6">
        <w:rPr>
          <w:rFonts w:ascii="Times New Roman" w:eastAsiaTheme="minorEastAsia" w:hAnsi="Times New Roman" w:cs="Times New Roman"/>
          <w:sz w:val="28"/>
          <w:szCs w:val="28"/>
        </w:rPr>
        <w:t>;</w:t>
      </w:r>
      <w:proofErr w:type="gramEnd"/>
    </w:p>
    <w:p w:rsidR="001D3BF6" w:rsidRPr="001D3BF6" w:rsidRDefault="001D3BF6" w:rsidP="001D3BF6">
      <w:pPr>
        <w:autoSpaceDE w:val="0"/>
        <w:autoSpaceDN w:val="0"/>
        <w:spacing w:before="60" w:after="60" w:line="320" w:lineRule="atLeast"/>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Theo đề nghị của Bộ trưởng Bộ Thuỷ sản,</w:t>
      </w:r>
    </w:p>
    <w:p w:rsidR="001D3BF6" w:rsidRPr="001D3BF6" w:rsidRDefault="001D3BF6" w:rsidP="001D3BF6">
      <w:pPr>
        <w:autoSpaceDE w:val="0"/>
        <w:autoSpaceDN w:val="0"/>
        <w:spacing w:before="60" w:after="60" w:line="320" w:lineRule="atLeast"/>
        <w:ind w:firstLine="720"/>
        <w:jc w:val="center"/>
        <w:rPr>
          <w:rFonts w:ascii="Times New Roman" w:eastAsiaTheme="minorEastAsia" w:hAnsi="Times New Roman" w:cs="Times New Roman"/>
          <w:b/>
          <w:bCs/>
          <w:sz w:val="26"/>
          <w:szCs w:val="26"/>
        </w:rPr>
      </w:pPr>
    </w:p>
    <w:p w:rsidR="001D3BF6" w:rsidRPr="001D3BF6" w:rsidRDefault="001D3BF6" w:rsidP="001D3BF6">
      <w:pPr>
        <w:autoSpaceDE w:val="0"/>
        <w:autoSpaceDN w:val="0"/>
        <w:spacing w:before="60" w:after="60" w:line="320" w:lineRule="atLeast"/>
        <w:jc w:val="center"/>
        <w:rPr>
          <w:rFonts w:ascii="Times New Roman" w:eastAsiaTheme="minorEastAsia" w:hAnsi="Times New Roman" w:cs="Times New Roman"/>
          <w:b/>
          <w:bCs/>
          <w:sz w:val="26"/>
          <w:szCs w:val="26"/>
        </w:rPr>
      </w:pPr>
      <w:r w:rsidRPr="001D3BF6">
        <w:rPr>
          <w:rFonts w:ascii="Times New Roman" w:eastAsiaTheme="minorEastAsia" w:hAnsi="Times New Roman" w:cs="Times New Roman"/>
          <w:b/>
          <w:bCs/>
          <w:sz w:val="26"/>
          <w:szCs w:val="26"/>
        </w:rPr>
        <w:t xml:space="preserve">NGHỊ </w:t>
      </w:r>
      <w:proofErr w:type="gramStart"/>
      <w:r w:rsidRPr="001D3BF6">
        <w:rPr>
          <w:rFonts w:ascii="Times New Roman" w:eastAsiaTheme="minorEastAsia" w:hAnsi="Times New Roman" w:cs="Times New Roman"/>
          <w:b/>
          <w:bCs/>
          <w:sz w:val="26"/>
          <w:szCs w:val="26"/>
        </w:rPr>
        <w:t>ĐỊNH :</w:t>
      </w:r>
      <w:proofErr w:type="gramEnd"/>
    </w:p>
    <w:p w:rsidR="001D3BF6" w:rsidRPr="001D3BF6" w:rsidRDefault="001D3BF6" w:rsidP="001D3BF6">
      <w:pPr>
        <w:autoSpaceDE w:val="0"/>
        <w:autoSpaceDN w:val="0"/>
        <w:spacing w:before="160"/>
        <w:ind w:firstLine="547"/>
        <w:rPr>
          <w:rFonts w:ascii="Times New Roman" w:eastAsiaTheme="minorEastAsia" w:hAnsi="Times New Roman" w:cs="Times New Roman"/>
          <w:b/>
          <w:bCs/>
          <w:sz w:val="28"/>
          <w:szCs w:val="28"/>
        </w:rPr>
      </w:pPr>
      <w:proofErr w:type="gramStart"/>
      <w:r w:rsidRPr="001D3BF6">
        <w:rPr>
          <w:rFonts w:ascii="Times New Roman" w:eastAsiaTheme="minorEastAsia" w:hAnsi="Times New Roman" w:cs="Times New Roman"/>
          <w:b/>
          <w:bCs/>
          <w:sz w:val="28"/>
          <w:szCs w:val="28"/>
        </w:rPr>
        <w:t>Điều 1.</w:t>
      </w:r>
      <w:proofErr w:type="gramEnd"/>
      <w:r w:rsidRPr="001D3BF6">
        <w:rPr>
          <w:rFonts w:ascii="Times New Roman" w:eastAsiaTheme="minorEastAsia" w:hAnsi="Times New Roman" w:cs="Times New Roman"/>
          <w:b/>
          <w:bCs/>
          <w:sz w:val="28"/>
          <w:szCs w:val="28"/>
        </w:rPr>
        <w:t xml:space="preserve"> Phạm </w:t>
      </w:r>
      <w:proofErr w:type="gramStart"/>
      <w:r w:rsidRPr="001D3BF6">
        <w:rPr>
          <w:rFonts w:ascii="Times New Roman" w:eastAsiaTheme="minorEastAsia" w:hAnsi="Times New Roman" w:cs="Times New Roman"/>
          <w:b/>
          <w:bCs/>
          <w:sz w:val="28"/>
          <w:szCs w:val="28"/>
        </w:rPr>
        <w:t>vi</w:t>
      </w:r>
      <w:proofErr w:type="gramEnd"/>
      <w:r w:rsidRPr="001D3BF6">
        <w:rPr>
          <w:rFonts w:ascii="Times New Roman" w:eastAsiaTheme="minorEastAsia" w:hAnsi="Times New Roman" w:cs="Times New Roman"/>
          <w:b/>
          <w:bCs/>
          <w:sz w:val="28"/>
          <w:szCs w:val="28"/>
        </w:rPr>
        <w:t xml:space="preserve"> điều chỉnh</w:t>
      </w:r>
    </w:p>
    <w:p w:rsidR="001D3BF6" w:rsidRPr="001D3BF6" w:rsidRDefault="001D3BF6" w:rsidP="001D3BF6">
      <w:pPr>
        <w:autoSpaceDE w:val="0"/>
        <w:autoSpaceDN w:val="0"/>
        <w:spacing w:before="160"/>
        <w:ind w:firstLine="547"/>
        <w:rPr>
          <w:rFonts w:ascii="Times New Roman" w:eastAsiaTheme="minorEastAsia" w:hAnsi="Times New Roman" w:cs="Times New Roman"/>
          <w:sz w:val="28"/>
          <w:szCs w:val="28"/>
        </w:rPr>
      </w:pPr>
      <w:proofErr w:type="gramStart"/>
      <w:r w:rsidRPr="001D3BF6">
        <w:rPr>
          <w:rFonts w:ascii="Times New Roman" w:eastAsiaTheme="minorEastAsia" w:hAnsi="Times New Roman" w:cs="Times New Roman"/>
          <w:sz w:val="28"/>
          <w:szCs w:val="28"/>
        </w:rPr>
        <w:t>Nghị định này quy định chi tiết và hướng dẫn thi hành một số điều của Luật Thuỷ sản về khu bảo tồn biển, bảo tồn nội địa; nguồn tài chính để tái tạo nguồn lợi thủy sản; trách nhiệm của cơ quan chuyên môn đối với việc đảm bảo thực hiện quyền của tổ chức, cá nhân khai thác thuỷ sản; giao, cho thuê mặt nước biển để nuôi trồng thủy sản; chợ thủy sản đầu mối.</w:t>
      </w:r>
      <w:proofErr w:type="gramEnd"/>
    </w:p>
    <w:p w:rsidR="001D3BF6" w:rsidRPr="001D3BF6" w:rsidRDefault="001D3BF6" w:rsidP="001D3BF6">
      <w:pPr>
        <w:autoSpaceDE w:val="0"/>
        <w:autoSpaceDN w:val="0"/>
        <w:spacing w:before="160"/>
        <w:ind w:firstLine="547"/>
        <w:rPr>
          <w:rFonts w:ascii="Times New Roman" w:eastAsiaTheme="minorEastAsia" w:hAnsi="Times New Roman" w:cs="Times New Roman"/>
          <w:sz w:val="28"/>
          <w:szCs w:val="28"/>
        </w:rPr>
      </w:pPr>
      <w:proofErr w:type="gramStart"/>
      <w:r w:rsidRPr="001D3BF6">
        <w:rPr>
          <w:rFonts w:ascii="Times New Roman" w:eastAsiaTheme="minorEastAsia" w:hAnsi="Times New Roman" w:cs="Times New Roman"/>
          <w:b/>
          <w:bCs/>
          <w:sz w:val="28"/>
          <w:szCs w:val="28"/>
        </w:rPr>
        <w:t>Điều 2.</w:t>
      </w:r>
      <w:proofErr w:type="gramEnd"/>
      <w:r w:rsidRPr="001D3BF6">
        <w:rPr>
          <w:rFonts w:ascii="Times New Roman" w:eastAsiaTheme="minorEastAsia" w:hAnsi="Times New Roman" w:cs="Times New Roman"/>
          <w:b/>
          <w:bCs/>
          <w:sz w:val="28"/>
          <w:szCs w:val="28"/>
        </w:rPr>
        <w:t xml:space="preserve"> Khu bảo tồn biển</w:t>
      </w:r>
      <w:r w:rsidRPr="001D3BF6">
        <w:rPr>
          <w:rFonts w:ascii="Times New Roman" w:eastAsiaTheme="minorEastAsia" w:hAnsi="Times New Roman" w:cs="Times New Roman"/>
          <w:sz w:val="28"/>
          <w:szCs w:val="28"/>
        </w:rPr>
        <w:t xml:space="preserve"> </w:t>
      </w:r>
    </w:p>
    <w:p w:rsidR="001D3BF6" w:rsidRPr="001D3BF6" w:rsidRDefault="001D3BF6" w:rsidP="001D3BF6">
      <w:pPr>
        <w:autoSpaceDE w:val="0"/>
        <w:autoSpaceDN w:val="0"/>
        <w:spacing w:before="160"/>
        <w:ind w:firstLine="547"/>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1. Khu bảo tồn biển là vùng biển được xác định (kể cả đảo có trong vùng biển đó) có các loài động vật, thực vật có giá trị và tầm quan trọng quốc gia hoặc quốc tế về khoa học, giáo dục, du lịch, giải trí được bảo vệ và quản lý theo quy chế của khu bảo tồn.</w:t>
      </w:r>
    </w:p>
    <w:p w:rsidR="001D3BF6" w:rsidRPr="001D3BF6" w:rsidRDefault="001D3BF6" w:rsidP="001D3BF6">
      <w:pPr>
        <w:autoSpaceDE w:val="0"/>
        <w:autoSpaceDN w:val="0"/>
        <w:spacing w:before="160"/>
        <w:ind w:firstLine="547"/>
        <w:rPr>
          <w:rFonts w:ascii="Times New Roman" w:eastAsiaTheme="minorEastAsia" w:hAnsi="Times New Roman" w:cs="Times New Roman"/>
          <w:sz w:val="28"/>
          <w:szCs w:val="28"/>
        </w:rPr>
      </w:pPr>
      <w:proofErr w:type="gramStart"/>
      <w:r w:rsidRPr="001D3BF6">
        <w:rPr>
          <w:rFonts w:ascii="Times New Roman" w:eastAsiaTheme="minorEastAsia" w:hAnsi="Times New Roman" w:cs="Times New Roman"/>
          <w:sz w:val="28"/>
          <w:szCs w:val="28"/>
        </w:rPr>
        <w:t>2. Khu bảo tồn biển được phân loại thành: vườn quốc gia, khu bảo tồn loài, sinh cảnh, khu dự trữ tài nguyên thiên nhiên thủy sinh.</w:t>
      </w:r>
      <w:proofErr w:type="gramEnd"/>
    </w:p>
    <w:p w:rsidR="001D3BF6" w:rsidRPr="001D3BF6" w:rsidRDefault="001D3BF6" w:rsidP="001D3BF6">
      <w:pPr>
        <w:autoSpaceDE w:val="0"/>
        <w:autoSpaceDN w:val="0"/>
        <w:spacing w:before="160"/>
        <w:ind w:firstLine="547"/>
        <w:rPr>
          <w:rFonts w:ascii="Times New Roman" w:eastAsiaTheme="minorEastAsia" w:hAnsi="Times New Roman" w:cs="Times New Roman"/>
          <w:b/>
          <w:bCs/>
          <w:sz w:val="28"/>
          <w:szCs w:val="28"/>
        </w:rPr>
      </w:pPr>
      <w:r w:rsidRPr="001D3BF6">
        <w:rPr>
          <w:rFonts w:ascii="Times New Roman" w:eastAsiaTheme="minorEastAsia" w:hAnsi="Times New Roman" w:cs="Times New Roman"/>
          <w:b/>
          <w:bCs/>
          <w:sz w:val="28"/>
          <w:szCs w:val="28"/>
        </w:rPr>
        <w:t xml:space="preserve"> </w:t>
      </w:r>
      <w:proofErr w:type="gramStart"/>
      <w:r w:rsidRPr="001D3BF6">
        <w:rPr>
          <w:rFonts w:ascii="Times New Roman" w:eastAsiaTheme="minorEastAsia" w:hAnsi="Times New Roman" w:cs="Times New Roman"/>
          <w:b/>
          <w:bCs/>
          <w:sz w:val="28"/>
          <w:szCs w:val="28"/>
        </w:rPr>
        <w:t>Điều 3</w:t>
      </w:r>
      <w:r w:rsidRPr="001D3BF6">
        <w:rPr>
          <w:rFonts w:ascii="Times New Roman" w:eastAsiaTheme="minorEastAsia" w:hAnsi="Times New Roman" w:cs="Times New Roman"/>
          <w:sz w:val="28"/>
          <w:szCs w:val="28"/>
        </w:rPr>
        <w:t>.</w:t>
      </w:r>
      <w:proofErr w:type="gramEnd"/>
      <w:r w:rsidRPr="001D3BF6">
        <w:rPr>
          <w:rFonts w:ascii="Times New Roman" w:eastAsiaTheme="minorEastAsia" w:hAnsi="Times New Roman" w:cs="Times New Roman"/>
          <w:sz w:val="28"/>
          <w:szCs w:val="28"/>
        </w:rPr>
        <w:t xml:space="preserve"> </w:t>
      </w:r>
      <w:r w:rsidRPr="001D3BF6">
        <w:rPr>
          <w:rFonts w:ascii="Times New Roman" w:eastAsiaTheme="minorEastAsia" w:hAnsi="Times New Roman" w:cs="Times New Roman"/>
          <w:b/>
          <w:bCs/>
          <w:sz w:val="28"/>
          <w:szCs w:val="28"/>
        </w:rPr>
        <w:t>Tiêu chuẩn phân loại khu bảo tồn biển</w:t>
      </w:r>
    </w:p>
    <w:p w:rsidR="001D3BF6" w:rsidRPr="001D3BF6" w:rsidRDefault="001D3BF6" w:rsidP="001D3BF6">
      <w:pPr>
        <w:autoSpaceDE w:val="0"/>
        <w:autoSpaceDN w:val="0"/>
        <w:spacing w:before="160"/>
        <w:ind w:firstLine="547"/>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1. Vườn quốc gia có đủ các tiêu chuẩn sau:</w:t>
      </w:r>
    </w:p>
    <w:p w:rsidR="001D3BF6" w:rsidRPr="001D3BF6" w:rsidRDefault="001D3BF6" w:rsidP="001D3BF6">
      <w:pPr>
        <w:autoSpaceDE w:val="0"/>
        <w:autoSpaceDN w:val="0"/>
        <w:spacing w:before="160"/>
        <w:ind w:firstLine="547"/>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a) Là khu vực tự nhiên có hệ sinh thái điển hình, là môi trường sống, sinh trưởng của các loài động, thực vật biển quý hiếm, có nguồn gen đa dạng, có giá trị và tầm quan trọng quốc gia hoặc quốc tế về khoa học, giáo dục, du lịch, giải trí;</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lastRenderedPageBreak/>
        <w:t>b) Là vùng có diện tích đủ rộng để duy trì và phát triển một hay nhiều hệ sinh thái</w:t>
      </w:r>
      <w:proofErr w:type="gramStart"/>
      <w:r w:rsidRPr="001D3BF6">
        <w:rPr>
          <w:rFonts w:ascii="Times New Roman" w:eastAsiaTheme="minorEastAsia" w:hAnsi="Times New Roman" w:cs="Times New Roman"/>
          <w:sz w:val="28"/>
          <w:szCs w:val="28"/>
        </w:rPr>
        <w:t>;</w:t>
      </w:r>
      <w:proofErr w:type="gramEnd"/>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proofErr w:type="gramStart"/>
      <w:r w:rsidRPr="001D3BF6">
        <w:rPr>
          <w:rFonts w:ascii="Times New Roman" w:eastAsiaTheme="minorEastAsia" w:hAnsi="Times New Roman" w:cs="Times New Roman"/>
          <w:sz w:val="28"/>
          <w:szCs w:val="28"/>
        </w:rPr>
        <w:t>c) Là vùng được bảo vệ nghiêm ngặt.</w:t>
      </w:r>
      <w:proofErr w:type="gramEnd"/>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2. Khu bảo tồn loài, sinh cảnh có đủ các tiêu chuẩn sau:</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a) Là khu vực tự nhiên, là môi trường sống, sinh trưởng và phát triển của các loài động, thực vật biển, có giá trị và tầm quan trọng quốc gia hoặc của địa phương về khoa học, giáo dục, du lịch, giải trí;</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b) Là vùng có diện tích đủ rộng phù hợp với yêu cầu về môi trường sống của các loài, sinh cảnh được bảo vệ;</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proofErr w:type="gramStart"/>
      <w:r w:rsidRPr="001D3BF6">
        <w:rPr>
          <w:rFonts w:ascii="Times New Roman" w:eastAsiaTheme="minorEastAsia" w:hAnsi="Times New Roman" w:cs="Times New Roman"/>
          <w:sz w:val="28"/>
          <w:szCs w:val="28"/>
        </w:rPr>
        <w:t>c) Là vùng được bảo vệ chặt chẽ.</w:t>
      </w:r>
      <w:proofErr w:type="gramEnd"/>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3. Khu dự trữ tài nguyên thiên nhiên thuỷ sinh có đủ các tiêu chuẩn sau:</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a) Là vùng có ít nhất hai phần ba diện tích còn trong trạng thái tự nhiên, có nhiều loài động, thực vật biển sinh trưởng và phát triển, được bảo vệ để duy trì trạng thái tự nhiên đó;</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proofErr w:type="gramStart"/>
      <w:r w:rsidRPr="001D3BF6">
        <w:rPr>
          <w:rFonts w:ascii="Times New Roman" w:eastAsiaTheme="minorEastAsia" w:hAnsi="Times New Roman" w:cs="Times New Roman"/>
          <w:sz w:val="28"/>
          <w:szCs w:val="28"/>
        </w:rPr>
        <w:t>b) Là vùng có diện tích đủ rộng để bảo vệ không gây hại đến giá trị tự nhiên.</w:t>
      </w:r>
      <w:proofErr w:type="gramEnd"/>
    </w:p>
    <w:p w:rsidR="001D3BF6" w:rsidRPr="001D3BF6" w:rsidRDefault="001D3BF6" w:rsidP="001D3BF6">
      <w:pPr>
        <w:autoSpaceDE w:val="0"/>
        <w:autoSpaceDN w:val="0"/>
        <w:spacing w:before="240"/>
        <w:ind w:firstLine="540"/>
        <w:rPr>
          <w:rFonts w:ascii="Times New Roman" w:eastAsiaTheme="minorEastAsia" w:hAnsi="Times New Roman" w:cs="Times New Roman"/>
          <w:b/>
          <w:bCs/>
          <w:sz w:val="28"/>
          <w:szCs w:val="28"/>
        </w:rPr>
      </w:pPr>
      <w:proofErr w:type="gramStart"/>
      <w:r w:rsidRPr="001D3BF6">
        <w:rPr>
          <w:rFonts w:ascii="Times New Roman" w:eastAsiaTheme="minorEastAsia" w:hAnsi="Times New Roman" w:cs="Times New Roman"/>
          <w:b/>
          <w:bCs/>
          <w:sz w:val="28"/>
          <w:szCs w:val="28"/>
        </w:rPr>
        <w:t>Điều 4.</w:t>
      </w:r>
      <w:proofErr w:type="gramEnd"/>
      <w:r w:rsidRPr="001D3BF6">
        <w:rPr>
          <w:rFonts w:ascii="Times New Roman" w:eastAsiaTheme="minorEastAsia" w:hAnsi="Times New Roman" w:cs="Times New Roman"/>
          <w:b/>
          <w:bCs/>
          <w:sz w:val="28"/>
          <w:szCs w:val="28"/>
        </w:rPr>
        <w:t xml:space="preserve"> Phân cấp tổ chức và quản lý khu bảo tồn biển</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proofErr w:type="gramStart"/>
      <w:r w:rsidRPr="001D3BF6">
        <w:rPr>
          <w:rFonts w:ascii="Times New Roman" w:eastAsiaTheme="minorEastAsia" w:hAnsi="Times New Roman" w:cs="Times New Roman"/>
          <w:sz w:val="28"/>
          <w:szCs w:val="28"/>
        </w:rPr>
        <w:t>1. Thủ tướng Chính phủ phê duyệt quy hoạch hệ thống các khu bảo tồn biển; quyết định thành lập các Vườn quốc gia, các khu bảo tồn có tầm quan trọng quốc gia, quốc tế hoặc liên quan đến nhiều ngành, nằm trên địa bàn nhiều tỉnh.</w:t>
      </w:r>
      <w:proofErr w:type="gramEnd"/>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2.</w:t>
      </w:r>
      <w:r w:rsidRPr="001D3BF6">
        <w:rPr>
          <w:rFonts w:ascii="Times New Roman" w:eastAsiaTheme="minorEastAsia" w:hAnsi="Times New Roman" w:cs="Times New Roman"/>
          <w:sz w:val="24"/>
          <w:szCs w:val="24"/>
        </w:rPr>
        <w:t xml:space="preserve"> </w:t>
      </w:r>
      <w:r w:rsidRPr="001D3BF6">
        <w:rPr>
          <w:rFonts w:ascii="Times New Roman" w:eastAsiaTheme="minorEastAsia" w:hAnsi="Times New Roman" w:cs="Times New Roman"/>
          <w:sz w:val="28"/>
          <w:szCs w:val="28"/>
        </w:rPr>
        <w:t>Bộ Thuỷ sản xây dựng trình Thủ tướng Chính phủ phê duyệt quy hoạch các khu bảo tồn biển; tổ chức quản lý các khu bảo tồn biển do Thủ tướng Chính phủ thành lập.</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 xml:space="preserve">3. Ủy ban nhân dân cấp tỉnh quyết định thành lập (trên cơ sở có ý kiến thẩm định của Bộ Thuỷ sản) và tổ chức quản lý các khu bảo tồn biển, trừ trường hợp quy định tại khoản 1 Điều này. </w:t>
      </w:r>
    </w:p>
    <w:p w:rsidR="001D3BF6" w:rsidRPr="001D3BF6" w:rsidRDefault="001D3BF6" w:rsidP="001D3BF6">
      <w:pPr>
        <w:autoSpaceDE w:val="0"/>
        <w:autoSpaceDN w:val="0"/>
        <w:spacing w:before="240"/>
        <w:ind w:firstLine="540"/>
        <w:rPr>
          <w:rFonts w:ascii="Times New Roman" w:eastAsiaTheme="minorEastAsia" w:hAnsi="Times New Roman" w:cs="Times New Roman"/>
          <w:b/>
          <w:bCs/>
          <w:sz w:val="28"/>
          <w:szCs w:val="28"/>
        </w:rPr>
      </w:pPr>
      <w:proofErr w:type="gramStart"/>
      <w:r w:rsidRPr="001D3BF6">
        <w:rPr>
          <w:rFonts w:ascii="Times New Roman" w:eastAsiaTheme="minorEastAsia" w:hAnsi="Times New Roman" w:cs="Times New Roman"/>
          <w:b/>
          <w:bCs/>
          <w:sz w:val="28"/>
          <w:szCs w:val="28"/>
        </w:rPr>
        <w:t>Điều 5.</w:t>
      </w:r>
      <w:proofErr w:type="gramEnd"/>
      <w:r w:rsidRPr="001D3BF6">
        <w:rPr>
          <w:rFonts w:ascii="Times New Roman" w:eastAsiaTheme="minorEastAsia" w:hAnsi="Times New Roman" w:cs="Times New Roman"/>
          <w:b/>
          <w:bCs/>
          <w:sz w:val="28"/>
          <w:szCs w:val="28"/>
        </w:rPr>
        <w:t xml:space="preserve"> Khu bảo tồn vùng nước nội địa</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proofErr w:type="gramStart"/>
      <w:r w:rsidRPr="001D3BF6">
        <w:rPr>
          <w:rFonts w:ascii="Times New Roman" w:eastAsiaTheme="minorEastAsia" w:hAnsi="Times New Roman" w:cs="Times New Roman"/>
          <w:sz w:val="28"/>
          <w:szCs w:val="28"/>
        </w:rPr>
        <w:t>1. Khu bảo tồn vùng nước nội địa là nơi được khoanh vùng thuộc các vùng đất ngập nước để bảo vệ nghiêm ngặt các hệ sinh thái đặc thù, có tầm quan trọng quốc gia, quốc tế, có giá trị đa dạng sinh học cao nhằm cân bằng sinh thái, bảo vệ các giống, loài đang sinh sống, cư trú.</w:t>
      </w:r>
      <w:proofErr w:type="gramEnd"/>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lastRenderedPageBreak/>
        <w:t>2. Khu bảo tồn vùng nước nội địa được quản lý theo quy định của Nghị định số 109/2003/NĐ-CP ngày 23 tháng 9 năm 2003 của Chính phủ về bảo tồn và khai thác bền vững các vùng đất ngập nước.</w:t>
      </w:r>
    </w:p>
    <w:p w:rsidR="001D3BF6" w:rsidRPr="001D3BF6" w:rsidRDefault="001D3BF6" w:rsidP="001D3BF6">
      <w:pPr>
        <w:autoSpaceDE w:val="0"/>
        <w:autoSpaceDN w:val="0"/>
        <w:spacing w:before="240"/>
        <w:ind w:firstLine="540"/>
        <w:rPr>
          <w:rFonts w:ascii="Times New Roman" w:eastAsiaTheme="minorEastAsia" w:hAnsi="Times New Roman" w:cs="Times New Roman"/>
          <w:b/>
          <w:bCs/>
          <w:sz w:val="28"/>
          <w:szCs w:val="28"/>
        </w:rPr>
      </w:pPr>
      <w:proofErr w:type="gramStart"/>
      <w:r w:rsidRPr="001D3BF6">
        <w:rPr>
          <w:rFonts w:ascii="Times New Roman" w:eastAsiaTheme="minorEastAsia" w:hAnsi="Times New Roman" w:cs="Times New Roman"/>
          <w:b/>
          <w:bCs/>
          <w:sz w:val="28"/>
          <w:szCs w:val="28"/>
        </w:rPr>
        <w:t>Điều 6.</w:t>
      </w:r>
      <w:proofErr w:type="gramEnd"/>
      <w:r w:rsidRPr="001D3BF6">
        <w:rPr>
          <w:rFonts w:ascii="Times New Roman" w:eastAsiaTheme="minorEastAsia" w:hAnsi="Times New Roman" w:cs="Times New Roman"/>
          <w:b/>
          <w:bCs/>
          <w:sz w:val="28"/>
          <w:szCs w:val="28"/>
        </w:rPr>
        <w:t xml:space="preserve"> Nguồn tài chính từ ngân sách nhà nước để tái tạo nguồn lợi thủy sản</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 xml:space="preserve">1. Bố trí kinh phí để tái tạo nguồn lợi thuỷ sản trong dự toán ngân sách trung ương và dự toán ngân sách địa phương </w:t>
      </w:r>
      <w:proofErr w:type="gramStart"/>
      <w:r w:rsidRPr="001D3BF6">
        <w:rPr>
          <w:rFonts w:ascii="Times New Roman" w:eastAsiaTheme="minorEastAsia" w:hAnsi="Times New Roman" w:cs="Times New Roman"/>
          <w:sz w:val="28"/>
          <w:szCs w:val="28"/>
        </w:rPr>
        <w:t>theo</w:t>
      </w:r>
      <w:proofErr w:type="gramEnd"/>
      <w:r w:rsidRPr="001D3BF6">
        <w:rPr>
          <w:rFonts w:ascii="Times New Roman" w:eastAsiaTheme="minorEastAsia" w:hAnsi="Times New Roman" w:cs="Times New Roman"/>
          <w:sz w:val="28"/>
          <w:szCs w:val="28"/>
        </w:rPr>
        <w:t xml:space="preserve"> phân cấp quản lý ngân sách nhà nước. Việc quản lý, sử dụng nguồn kinh phí này </w:t>
      </w:r>
      <w:proofErr w:type="gramStart"/>
      <w:r w:rsidRPr="001D3BF6">
        <w:rPr>
          <w:rFonts w:ascii="Times New Roman" w:eastAsiaTheme="minorEastAsia" w:hAnsi="Times New Roman" w:cs="Times New Roman"/>
          <w:sz w:val="28"/>
          <w:szCs w:val="28"/>
        </w:rPr>
        <w:t>theo</w:t>
      </w:r>
      <w:proofErr w:type="gramEnd"/>
      <w:r w:rsidRPr="001D3BF6">
        <w:rPr>
          <w:rFonts w:ascii="Times New Roman" w:eastAsiaTheme="minorEastAsia" w:hAnsi="Times New Roman" w:cs="Times New Roman"/>
          <w:sz w:val="28"/>
          <w:szCs w:val="28"/>
        </w:rPr>
        <w:t xml:space="preserve"> quy định của pháp luật về ngân sách nhà nước.</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2. Nguồn kinh phí từ ngân sách nhà nước để tái tạo nguồn lợi thuỷ sản được sử dụng cho các nhiệm vụ sau:</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 xml:space="preserve">a) Tổ chức thực hiện các dự </w:t>
      </w:r>
      <w:proofErr w:type="gramStart"/>
      <w:r w:rsidRPr="001D3BF6">
        <w:rPr>
          <w:rFonts w:ascii="Times New Roman" w:eastAsiaTheme="minorEastAsia" w:hAnsi="Times New Roman" w:cs="Times New Roman"/>
          <w:sz w:val="28"/>
          <w:szCs w:val="28"/>
        </w:rPr>
        <w:t>án</w:t>
      </w:r>
      <w:proofErr w:type="gramEnd"/>
      <w:r w:rsidRPr="001D3BF6">
        <w:rPr>
          <w:rFonts w:ascii="Times New Roman" w:eastAsiaTheme="minorEastAsia" w:hAnsi="Times New Roman" w:cs="Times New Roman"/>
          <w:sz w:val="28"/>
          <w:szCs w:val="28"/>
        </w:rPr>
        <w:t xml:space="preserve"> tái tạo, bảo vệ và phát triển nguồn lợi thuỷ sản;</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b) Nghiên cứu, đánh giá hiệu quả của hoạt động tái tạo nguồn lợi thuỷ sản;</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proofErr w:type="gramStart"/>
      <w:r w:rsidRPr="001D3BF6">
        <w:rPr>
          <w:rFonts w:ascii="Times New Roman" w:eastAsiaTheme="minorEastAsia" w:hAnsi="Times New Roman" w:cs="Times New Roman"/>
          <w:sz w:val="28"/>
          <w:szCs w:val="28"/>
        </w:rPr>
        <w:t>c) Tổ chức tuyên truyền, tập huấn kỹ thuật phục vụ công tác tái tạo nguồn lợi thuỷ sản.</w:t>
      </w:r>
      <w:proofErr w:type="gramEnd"/>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proofErr w:type="gramStart"/>
      <w:r w:rsidRPr="001D3BF6">
        <w:rPr>
          <w:rFonts w:ascii="Times New Roman" w:eastAsiaTheme="minorEastAsia" w:hAnsi="Times New Roman" w:cs="Times New Roman"/>
          <w:b/>
          <w:bCs/>
          <w:sz w:val="28"/>
          <w:szCs w:val="28"/>
        </w:rPr>
        <w:t>Điều 7.</w:t>
      </w:r>
      <w:proofErr w:type="gramEnd"/>
      <w:r w:rsidRPr="001D3BF6">
        <w:rPr>
          <w:rFonts w:ascii="Times New Roman" w:eastAsiaTheme="minorEastAsia" w:hAnsi="Times New Roman" w:cs="Times New Roman"/>
          <w:b/>
          <w:bCs/>
          <w:sz w:val="28"/>
          <w:szCs w:val="28"/>
        </w:rPr>
        <w:t xml:space="preserve"> Quỹ tái tạo nguồn lợi thủy sản</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proofErr w:type="gramStart"/>
      <w:r w:rsidRPr="001D3BF6">
        <w:rPr>
          <w:rFonts w:ascii="Times New Roman" w:eastAsiaTheme="minorEastAsia" w:hAnsi="Times New Roman" w:cs="Times New Roman"/>
          <w:sz w:val="28"/>
          <w:szCs w:val="28"/>
        </w:rPr>
        <w:t>1. Thành lập Quỹ tái tạo nguồn lợi thủy sản (gọi tắt là Quỹ) từ sự đóng góp của các tổ chức, cá nhân để chủ động tái tạo và ngăn ngừa sự suy giảm nguồn lợi thủy sản.</w:t>
      </w:r>
      <w:proofErr w:type="gramEnd"/>
      <w:r w:rsidRPr="001D3BF6">
        <w:rPr>
          <w:rFonts w:ascii="Times New Roman" w:eastAsiaTheme="minorEastAsia" w:hAnsi="Times New Roman" w:cs="Times New Roman"/>
          <w:sz w:val="28"/>
          <w:szCs w:val="28"/>
        </w:rPr>
        <w:t xml:space="preserve"> </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2. Nguồn tài chính để lập Quỹ bao gồm:</w:t>
      </w:r>
      <w:r w:rsidRPr="001D3BF6">
        <w:rPr>
          <w:rFonts w:ascii="Times New Roman" w:eastAsiaTheme="minorEastAsia" w:hAnsi="Times New Roman" w:cs="Times New Roman"/>
          <w:sz w:val="28"/>
          <w:szCs w:val="28"/>
        </w:rPr>
        <w:tab/>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a) Đóng góp của tổ chức, cá nhân trực tiếp khai thác, nuôi trồng, chế biến, mua bán, xuất khẩu, nhập khẩu thuỷ sản;</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b) Đóng góp của tổ chức, cá nhân hoạt động trong các ngành nghề có ảnh hưởng trực tiếp đến nguồn lợi thuỷ sản;</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c) Tài trợ của các tổ chức, cá nhân trong nước và nước ngoài;</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 xml:space="preserve">d) Các nguồn </w:t>
      </w:r>
      <w:proofErr w:type="gramStart"/>
      <w:r w:rsidRPr="001D3BF6">
        <w:rPr>
          <w:rFonts w:ascii="Times New Roman" w:eastAsiaTheme="minorEastAsia" w:hAnsi="Times New Roman" w:cs="Times New Roman"/>
          <w:sz w:val="28"/>
          <w:szCs w:val="28"/>
        </w:rPr>
        <w:t>thu</w:t>
      </w:r>
      <w:proofErr w:type="gramEnd"/>
      <w:r w:rsidRPr="001D3BF6">
        <w:rPr>
          <w:rFonts w:ascii="Times New Roman" w:eastAsiaTheme="minorEastAsia" w:hAnsi="Times New Roman" w:cs="Times New Roman"/>
          <w:sz w:val="28"/>
          <w:szCs w:val="28"/>
        </w:rPr>
        <w:t xml:space="preserve"> khác theo quy định của pháp luật.</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3. Quỹ được sử dụng hàng năm cho các nhiệm vụ sau:</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a) Tổ chức sản xuất, mua giống thuỷ sản, chà rạo nhân tạo và các vật liệu khác để thả xuống các vùng nước tự nhiên phục vụ tái tạo nguồn lợi thuỷ sản;</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proofErr w:type="gramStart"/>
      <w:r w:rsidRPr="001D3BF6">
        <w:rPr>
          <w:rFonts w:ascii="Times New Roman" w:eastAsiaTheme="minorEastAsia" w:hAnsi="Times New Roman" w:cs="Times New Roman"/>
          <w:sz w:val="28"/>
          <w:szCs w:val="28"/>
        </w:rPr>
        <w:lastRenderedPageBreak/>
        <w:t>b) Quản lý và điều hành hoạt động của Quỹ.</w:t>
      </w:r>
      <w:proofErr w:type="gramEnd"/>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proofErr w:type="gramStart"/>
      <w:r w:rsidRPr="001D3BF6">
        <w:rPr>
          <w:rFonts w:ascii="Times New Roman" w:eastAsiaTheme="minorEastAsia" w:hAnsi="Times New Roman" w:cs="Times New Roman"/>
          <w:sz w:val="28"/>
          <w:szCs w:val="28"/>
        </w:rPr>
        <w:t>4. Thủ tướng Chính phủ quyết định về việc thành lập, tổ chức và hoạt động của Quỹ.</w:t>
      </w:r>
      <w:proofErr w:type="gramEnd"/>
    </w:p>
    <w:p w:rsidR="001D3BF6" w:rsidRPr="001D3BF6" w:rsidRDefault="001D3BF6" w:rsidP="001D3BF6">
      <w:pPr>
        <w:autoSpaceDE w:val="0"/>
        <w:autoSpaceDN w:val="0"/>
        <w:spacing w:before="240"/>
        <w:ind w:firstLine="540"/>
        <w:rPr>
          <w:rFonts w:ascii="Times New Roman" w:eastAsiaTheme="minorEastAsia" w:hAnsi="Times New Roman" w:cs="Times New Roman"/>
          <w:b/>
          <w:bCs/>
          <w:sz w:val="28"/>
          <w:szCs w:val="28"/>
        </w:rPr>
      </w:pPr>
      <w:proofErr w:type="gramStart"/>
      <w:r w:rsidRPr="001D3BF6">
        <w:rPr>
          <w:rFonts w:ascii="Times New Roman" w:eastAsiaTheme="minorEastAsia" w:hAnsi="Times New Roman" w:cs="Times New Roman"/>
          <w:b/>
          <w:bCs/>
          <w:sz w:val="28"/>
          <w:szCs w:val="28"/>
        </w:rPr>
        <w:t>Điều 8.</w:t>
      </w:r>
      <w:proofErr w:type="gramEnd"/>
      <w:r w:rsidRPr="001D3BF6">
        <w:rPr>
          <w:rFonts w:ascii="Times New Roman" w:eastAsiaTheme="minorEastAsia" w:hAnsi="Times New Roman" w:cs="Times New Roman"/>
          <w:b/>
          <w:bCs/>
          <w:sz w:val="28"/>
          <w:szCs w:val="28"/>
        </w:rPr>
        <w:t xml:space="preserve"> Các trường hợp được miễn, giảm </w:t>
      </w:r>
      <w:proofErr w:type="gramStart"/>
      <w:r w:rsidRPr="001D3BF6">
        <w:rPr>
          <w:rFonts w:ascii="Times New Roman" w:eastAsiaTheme="minorEastAsia" w:hAnsi="Times New Roman" w:cs="Times New Roman"/>
          <w:b/>
          <w:bCs/>
          <w:sz w:val="28"/>
          <w:szCs w:val="28"/>
        </w:rPr>
        <w:t>thu</w:t>
      </w:r>
      <w:proofErr w:type="gramEnd"/>
      <w:r w:rsidRPr="001D3BF6">
        <w:rPr>
          <w:rFonts w:ascii="Times New Roman" w:eastAsiaTheme="minorEastAsia" w:hAnsi="Times New Roman" w:cs="Times New Roman"/>
          <w:b/>
          <w:bCs/>
          <w:sz w:val="28"/>
          <w:szCs w:val="28"/>
        </w:rPr>
        <w:t xml:space="preserve"> quỹ </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 xml:space="preserve">1. Đối tượng được miễn </w:t>
      </w:r>
      <w:proofErr w:type="gramStart"/>
      <w:r w:rsidRPr="001D3BF6">
        <w:rPr>
          <w:rFonts w:ascii="Times New Roman" w:eastAsiaTheme="minorEastAsia" w:hAnsi="Times New Roman" w:cs="Times New Roman"/>
          <w:sz w:val="28"/>
          <w:szCs w:val="28"/>
        </w:rPr>
        <w:t>thu :</w:t>
      </w:r>
      <w:proofErr w:type="gramEnd"/>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a) Cá nhân khai thác, nuôi trồng, chế biến thuỷ sản không mang tính chất kinh doanh;</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b) Các tàu, thuyền hoạt động nghiên cứu khoa học; tàu, thuyền công vụ; tàu, thuyền tìm kiếm cứu nạn; tàu, thuyền phục vụ an ninh, quốc phòng;</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 xml:space="preserve">c) Các tàu thuyền khai thác thuỷ sản có thời gian hoạt động dưới 50 ngày trong năm hoặc bị </w:t>
      </w:r>
      <w:proofErr w:type="gramStart"/>
      <w:r w:rsidRPr="001D3BF6">
        <w:rPr>
          <w:rFonts w:ascii="Times New Roman" w:eastAsiaTheme="minorEastAsia" w:hAnsi="Times New Roman" w:cs="Times New Roman"/>
          <w:sz w:val="28"/>
          <w:szCs w:val="28"/>
        </w:rPr>
        <w:t>tai</w:t>
      </w:r>
      <w:proofErr w:type="gramEnd"/>
      <w:r w:rsidRPr="001D3BF6">
        <w:rPr>
          <w:rFonts w:ascii="Times New Roman" w:eastAsiaTheme="minorEastAsia" w:hAnsi="Times New Roman" w:cs="Times New Roman"/>
          <w:sz w:val="28"/>
          <w:szCs w:val="28"/>
        </w:rPr>
        <w:t xml:space="preserve"> nạn, rủi ro.</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 xml:space="preserve">2. Đối tượng được giảm mức </w:t>
      </w:r>
      <w:proofErr w:type="gramStart"/>
      <w:r w:rsidRPr="001D3BF6">
        <w:rPr>
          <w:rFonts w:ascii="Times New Roman" w:eastAsiaTheme="minorEastAsia" w:hAnsi="Times New Roman" w:cs="Times New Roman"/>
          <w:sz w:val="28"/>
          <w:szCs w:val="28"/>
        </w:rPr>
        <w:t>thu</w:t>
      </w:r>
      <w:proofErr w:type="gramEnd"/>
      <w:r w:rsidRPr="001D3BF6">
        <w:rPr>
          <w:rFonts w:ascii="Times New Roman" w:eastAsiaTheme="minorEastAsia" w:hAnsi="Times New Roman" w:cs="Times New Roman"/>
          <w:sz w:val="28"/>
          <w:szCs w:val="28"/>
        </w:rPr>
        <w:t>:</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 xml:space="preserve">Các tàu thuyền khai thác thuỷ sản có thời gian hoạt động dưới 100 ngày trong năm được giảm 50% mức </w:t>
      </w:r>
      <w:proofErr w:type="gramStart"/>
      <w:r w:rsidRPr="001D3BF6">
        <w:rPr>
          <w:rFonts w:ascii="Times New Roman" w:eastAsiaTheme="minorEastAsia" w:hAnsi="Times New Roman" w:cs="Times New Roman"/>
          <w:sz w:val="28"/>
          <w:szCs w:val="28"/>
        </w:rPr>
        <w:t>thu</w:t>
      </w:r>
      <w:proofErr w:type="gramEnd"/>
      <w:r w:rsidRPr="001D3BF6">
        <w:rPr>
          <w:rFonts w:ascii="Times New Roman" w:eastAsiaTheme="minorEastAsia" w:hAnsi="Times New Roman" w:cs="Times New Roman"/>
          <w:sz w:val="28"/>
          <w:szCs w:val="28"/>
        </w:rPr>
        <w:t>.</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 xml:space="preserve">3. Bộ Tài chính chủ trì, phối hợp với Bộ Thủy sản quy định chi tiết thủ tục miễn, giảm </w:t>
      </w:r>
      <w:proofErr w:type="gramStart"/>
      <w:r w:rsidRPr="001D3BF6">
        <w:rPr>
          <w:rFonts w:ascii="Times New Roman" w:eastAsiaTheme="minorEastAsia" w:hAnsi="Times New Roman" w:cs="Times New Roman"/>
          <w:sz w:val="28"/>
          <w:szCs w:val="28"/>
        </w:rPr>
        <w:t>thu</w:t>
      </w:r>
      <w:proofErr w:type="gramEnd"/>
      <w:r w:rsidRPr="001D3BF6">
        <w:rPr>
          <w:rFonts w:ascii="Times New Roman" w:eastAsiaTheme="minorEastAsia" w:hAnsi="Times New Roman" w:cs="Times New Roman"/>
          <w:sz w:val="28"/>
          <w:szCs w:val="28"/>
        </w:rPr>
        <w:t xml:space="preserve"> quỹ.</w:t>
      </w:r>
    </w:p>
    <w:p w:rsidR="001D3BF6" w:rsidRPr="001D3BF6" w:rsidRDefault="001D3BF6" w:rsidP="001D3BF6">
      <w:pPr>
        <w:autoSpaceDE w:val="0"/>
        <w:autoSpaceDN w:val="0"/>
        <w:spacing w:before="240"/>
        <w:ind w:firstLine="540"/>
        <w:rPr>
          <w:rFonts w:ascii="Times New Roman" w:eastAsiaTheme="minorEastAsia" w:hAnsi="Times New Roman" w:cs="Times New Roman"/>
          <w:b/>
          <w:bCs/>
          <w:sz w:val="28"/>
          <w:szCs w:val="28"/>
        </w:rPr>
      </w:pPr>
      <w:proofErr w:type="gramStart"/>
      <w:r w:rsidRPr="001D3BF6">
        <w:rPr>
          <w:rFonts w:ascii="Times New Roman" w:eastAsiaTheme="minorEastAsia" w:hAnsi="Times New Roman" w:cs="Times New Roman"/>
          <w:b/>
          <w:bCs/>
          <w:sz w:val="28"/>
          <w:szCs w:val="28"/>
        </w:rPr>
        <w:t>Điều 9.</w:t>
      </w:r>
      <w:proofErr w:type="gramEnd"/>
      <w:r w:rsidRPr="001D3BF6">
        <w:rPr>
          <w:rFonts w:ascii="Times New Roman" w:eastAsiaTheme="minorEastAsia" w:hAnsi="Times New Roman" w:cs="Times New Roman"/>
          <w:b/>
          <w:bCs/>
          <w:sz w:val="28"/>
          <w:szCs w:val="28"/>
        </w:rPr>
        <w:t xml:space="preserve"> Trách nhiệm của cơ quan chuyên môn đối với việc đảm bảo thực hiện quyền của tổ chức, cá nhân khai thác thuỷ sản</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1. Bộ Tài nguyên và Môi trường có trách nhiệm cung cấp kịp thời các bản tin diễn biến thời tiết cho Đài Tiếng nói Việt Nam và Đài Truyền hình Việt Nam để phát sóng hàng ngày, đồng thời cung cấp cho Bộ Thuỷ sản để chỉ đạo hoạt động trong ngành.</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2. Bộ Thuỷ sản có trách nhiệm:</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 xml:space="preserve">a) Lập các bản dự báo về nguồn lợi thuỷ sản trên các </w:t>
      </w:r>
      <w:proofErr w:type="gramStart"/>
      <w:r w:rsidRPr="001D3BF6">
        <w:rPr>
          <w:rFonts w:ascii="Times New Roman" w:eastAsiaTheme="minorEastAsia" w:hAnsi="Times New Roman" w:cs="Times New Roman"/>
          <w:sz w:val="28"/>
          <w:szCs w:val="28"/>
        </w:rPr>
        <w:t>ngư</w:t>
      </w:r>
      <w:proofErr w:type="gramEnd"/>
      <w:r w:rsidRPr="001D3BF6">
        <w:rPr>
          <w:rFonts w:ascii="Times New Roman" w:eastAsiaTheme="minorEastAsia" w:hAnsi="Times New Roman" w:cs="Times New Roman"/>
          <w:sz w:val="28"/>
          <w:szCs w:val="28"/>
        </w:rPr>
        <w:t xml:space="preserve"> trường theo mùa vụ, theo tháng và nửa tháng để cung cấp kịp thời cho Đài Tiếng nói Việt Nam và Đài Truyền hình Việt Nam định kỳ phát sóng 2 lần trong một tuần;</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 xml:space="preserve">b) Tổ chức hướng dẫn kỹ thuật khai thác cho </w:t>
      </w:r>
      <w:proofErr w:type="gramStart"/>
      <w:r w:rsidRPr="001D3BF6">
        <w:rPr>
          <w:rFonts w:ascii="Times New Roman" w:eastAsiaTheme="minorEastAsia" w:hAnsi="Times New Roman" w:cs="Times New Roman"/>
          <w:sz w:val="28"/>
          <w:szCs w:val="28"/>
        </w:rPr>
        <w:t>ngư</w:t>
      </w:r>
      <w:proofErr w:type="gramEnd"/>
      <w:r w:rsidRPr="001D3BF6">
        <w:rPr>
          <w:rFonts w:ascii="Times New Roman" w:eastAsiaTheme="minorEastAsia" w:hAnsi="Times New Roman" w:cs="Times New Roman"/>
          <w:sz w:val="28"/>
          <w:szCs w:val="28"/>
        </w:rPr>
        <w:t xml:space="preserve"> dân;</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c) Thông qua hệ thống cơ quan báo chí của ngành Thuỷ sản và cơ quan báo chí có liên quan của Trung ương để thông tin về hoạt động thuỷ sản trong nước và ngoài nước;</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proofErr w:type="gramStart"/>
      <w:r w:rsidRPr="001D3BF6">
        <w:rPr>
          <w:rFonts w:ascii="Times New Roman" w:eastAsiaTheme="minorEastAsia" w:hAnsi="Times New Roman" w:cs="Times New Roman"/>
          <w:sz w:val="28"/>
          <w:szCs w:val="28"/>
        </w:rPr>
        <w:t>d) Phối hợp với Bộ Thương mại ra bản tin hàng tuần về thị trường thuỷ sản.</w:t>
      </w:r>
      <w:proofErr w:type="gramEnd"/>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p>
    <w:p w:rsidR="001D3BF6" w:rsidRPr="001D3BF6" w:rsidRDefault="001D3BF6" w:rsidP="001D3BF6">
      <w:pPr>
        <w:autoSpaceDE w:val="0"/>
        <w:autoSpaceDN w:val="0"/>
        <w:spacing w:before="240"/>
        <w:ind w:firstLine="540"/>
        <w:rPr>
          <w:rFonts w:ascii="Times New Roman" w:eastAsiaTheme="minorEastAsia" w:hAnsi="Times New Roman" w:cs="Times New Roman"/>
          <w:b/>
          <w:bCs/>
          <w:sz w:val="28"/>
          <w:szCs w:val="28"/>
        </w:rPr>
      </w:pPr>
      <w:proofErr w:type="gramStart"/>
      <w:r w:rsidRPr="001D3BF6">
        <w:rPr>
          <w:rFonts w:ascii="Times New Roman" w:eastAsiaTheme="minorEastAsia" w:hAnsi="Times New Roman" w:cs="Times New Roman"/>
          <w:b/>
          <w:bCs/>
          <w:sz w:val="28"/>
          <w:szCs w:val="28"/>
        </w:rPr>
        <w:t>Điều 10.</w:t>
      </w:r>
      <w:proofErr w:type="gramEnd"/>
      <w:r w:rsidRPr="001D3BF6">
        <w:rPr>
          <w:rFonts w:ascii="Times New Roman" w:eastAsiaTheme="minorEastAsia" w:hAnsi="Times New Roman" w:cs="Times New Roman"/>
          <w:b/>
          <w:bCs/>
          <w:sz w:val="28"/>
          <w:szCs w:val="28"/>
        </w:rPr>
        <w:t xml:space="preserve"> Giao, cho thuê mặt nước biển để nuôi trồng thủy sản</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proofErr w:type="gramStart"/>
      <w:r w:rsidRPr="001D3BF6">
        <w:rPr>
          <w:rFonts w:ascii="Times New Roman" w:eastAsiaTheme="minorEastAsia" w:hAnsi="Times New Roman" w:cs="Times New Roman"/>
          <w:sz w:val="28"/>
          <w:szCs w:val="28"/>
        </w:rPr>
        <w:t>1. Mặt nước biển để nuôi trồng thuỷ sản là vùng nước biển được quy hoạch để nuôi trồng thuỷ sản, tính từ đường mép nước biển triều kiệt trung bình trong nhiều năm trở ra.</w:t>
      </w:r>
      <w:proofErr w:type="gramEnd"/>
    </w:p>
    <w:p w:rsidR="001D3BF6" w:rsidRPr="001D3BF6" w:rsidRDefault="001D3BF6" w:rsidP="001D3BF6">
      <w:pPr>
        <w:autoSpaceDE w:val="0"/>
        <w:autoSpaceDN w:val="0"/>
        <w:spacing w:before="280"/>
        <w:ind w:firstLine="547"/>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 xml:space="preserve">2. Đối tượng được giao mặt nước biển không </w:t>
      </w:r>
      <w:proofErr w:type="gramStart"/>
      <w:r w:rsidRPr="001D3BF6">
        <w:rPr>
          <w:rFonts w:ascii="Times New Roman" w:eastAsiaTheme="minorEastAsia" w:hAnsi="Times New Roman" w:cs="Times New Roman"/>
          <w:sz w:val="28"/>
          <w:szCs w:val="28"/>
        </w:rPr>
        <w:t>thu</w:t>
      </w:r>
      <w:proofErr w:type="gramEnd"/>
      <w:r w:rsidRPr="001D3BF6">
        <w:rPr>
          <w:rFonts w:ascii="Times New Roman" w:eastAsiaTheme="minorEastAsia" w:hAnsi="Times New Roman" w:cs="Times New Roman"/>
          <w:sz w:val="28"/>
          <w:szCs w:val="28"/>
        </w:rPr>
        <w:t xml:space="preserve"> tiền sử dụng mặt nước biển để nuôi trồng thủy sản:</w:t>
      </w:r>
    </w:p>
    <w:p w:rsidR="001D3BF6" w:rsidRPr="001D3BF6" w:rsidRDefault="001D3BF6" w:rsidP="001D3BF6">
      <w:pPr>
        <w:autoSpaceDE w:val="0"/>
        <w:autoSpaceDN w:val="0"/>
        <w:spacing w:before="280"/>
        <w:ind w:firstLine="547"/>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 xml:space="preserve">a) Cá nhân sinh sống tại địa phương trực tiếp nuôi trồng thủy sản mà nguồn sống chủ yếu dựa vào </w:t>
      </w:r>
      <w:proofErr w:type="gramStart"/>
      <w:r w:rsidRPr="001D3BF6">
        <w:rPr>
          <w:rFonts w:ascii="Times New Roman" w:eastAsiaTheme="minorEastAsia" w:hAnsi="Times New Roman" w:cs="Times New Roman"/>
          <w:sz w:val="28"/>
          <w:szCs w:val="28"/>
        </w:rPr>
        <w:t>thu</w:t>
      </w:r>
      <w:proofErr w:type="gramEnd"/>
      <w:r w:rsidRPr="001D3BF6">
        <w:rPr>
          <w:rFonts w:ascii="Times New Roman" w:eastAsiaTheme="minorEastAsia" w:hAnsi="Times New Roman" w:cs="Times New Roman"/>
          <w:sz w:val="28"/>
          <w:szCs w:val="28"/>
        </w:rPr>
        <w:t xml:space="preserve"> nhập từ nuôi trồng thủy sản;</w:t>
      </w:r>
    </w:p>
    <w:p w:rsidR="001D3BF6" w:rsidRPr="001D3BF6" w:rsidRDefault="001D3BF6" w:rsidP="001D3BF6">
      <w:pPr>
        <w:autoSpaceDE w:val="0"/>
        <w:autoSpaceDN w:val="0"/>
        <w:spacing w:before="280"/>
        <w:ind w:firstLine="547"/>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 xml:space="preserve">b) Cá nhân sinh sống tại địa phương làm nghề khai thác thủy sản ven bờ chuyển sang nuôi trồng thủy sản. </w:t>
      </w:r>
    </w:p>
    <w:p w:rsidR="001D3BF6" w:rsidRPr="001D3BF6" w:rsidRDefault="001D3BF6" w:rsidP="001D3BF6">
      <w:pPr>
        <w:autoSpaceDE w:val="0"/>
        <w:autoSpaceDN w:val="0"/>
        <w:spacing w:before="280"/>
        <w:ind w:firstLine="547"/>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 xml:space="preserve">3. Hồ </w:t>
      </w:r>
      <w:proofErr w:type="gramStart"/>
      <w:r w:rsidRPr="001D3BF6">
        <w:rPr>
          <w:rFonts w:ascii="Times New Roman" w:eastAsiaTheme="minorEastAsia" w:hAnsi="Times New Roman" w:cs="Times New Roman"/>
          <w:sz w:val="28"/>
          <w:szCs w:val="28"/>
        </w:rPr>
        <w:t>sơ</w:t>
      </w:r>
      <w:proofErr w:type="gramEnd"/>
      <w:r w:rsidRPr="001D3BF6">
        <w:rPr>
          <w:rFonts w:ascii="Times New Roman" w:eastAsiaTheme="minorEastAsia" w:hAnsi="Times New Roman" w:cs="Times New Roman"/>
          <w:sz w:val="28"/>
          <w:szCs w:val="28"/>
        </w:rPr>
        <w:t xml:space="preserve"> xin giao mặt nước biển để nuôi trồng thủy sản:</w:t>
      </w:r>
    </w:p>
    <w:p w:rsidR="001D3BF6" w:rsidRPr="001D3BF6" w:rsidRDefault="001D3BF6" w:rsidP="001D3BF6">
      <w:pPr>
        <w:autoSpaceDE w:val="0"/>
        <w:autoSpaceDN w:val="0"/>
        <w:spacing w:before="280"/>
        <w:ind w:firstLine="547"/>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Đối tượng quy định tại khoản 1 Điều này phải có đơn xin giao mặt nước biển để nuôi trồng thuỷ sản, được Ủy ban nhân dân xã, phường, thị trấn nơi cư trú xác nhận. Trong đơn phải thể hiện năng lực kỹ thuật nuôi trồng và cam kết bảo vệ môi trường trong nuôi trồng thuỷ sản.</w:t>
      </w:r>
    </w:p>
    <w:p w:rsidR="001D3BF6" w:rsidRPr="001D3BF6" w:rsidRDefault="001D3BF6" w:rsidP="001D3BF6">
      <w:pPr>
        <w:autoSpaceDE w:val="0"/>
        <w:autoSpaceDN w:val="0"/>
        <w:spacing w:before="280"/>
        <w:ind w:firstLine="547"/>
        <w:rPr>
          <w:rFonts w:ascii="Times New Roman" w:eastAsiaTheme="minorEastAsia" w:hAnsi="Times New Roman" w:cs="Times New Roman"/>
          <w:sz w:val="28"/>
          <w:szCs w:val="28"/>
        </w:rPr>
      </w:pPr>
      <w:proofErr w:type="gramStart"/>
      <w:r w:rsidRPr="001D3BF6">
        <w:rPr>
          <w:rFonts w:ascii="Times New Roman" w:eastAsiaTheme="minorEastAsia" w:hAnsi="Times New Roman" w:cs="Times New Roman"/>
          <w:sz w:val="28"/>
          <w:szCs w:val="28"/>
        </w:rPr>
        <w:t>4. Hồ sơ xin thuê mặt nước biển để nuôi trồng thủy sản.</w:t>
      </w:r>
      <w:proofErr w:type="gramEnd"/>
      <w:r w:rsidRPr="001D3BF6">
        <w:rPr>
          <w:rFonts w:ascii="Times New Roman" w:eastAsiaTheme="minorEastAsia" w:hAnsi="Times New Roman" w:cs="Times New Roman"/>
          <w:sz w:val="28"/>
          <w:szCs w:val="28"/>
        </w:rPr>
        <w:t xml:space="preserve"> </w:t>
      </w:r>
    </w:p>
    <w:p w:rsidR="001D3BF6" w:rsidRPr="001D3BF6" w:rsidRDefault="001D3BF6" w:rsidP="001D3BF6">
      <w:pPr>
        <w:autoSpaceDE w:val="0"/>
        <w:autoSpaceDN w:val="0"/>
        <w:spacing w:before="280"/>
        <w:ind w:firstLine="547"/>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 xml:space="preserve">a) Đối với tổ chức, cá nhân trong </w:t>
      </w:r>
      <w:proofErr w:type="gramStart"/>
      <w:r w:rsidRPr="001D3BF6">
        <w:rPr>
          <w:rFonts w:ascii="Times New Roman" w:eastAsiaTheme="minorEastAsia" w:hAnsi="Times New Roman" w:cs="Times New Roman"/>
          <w:sz w:val="28"/>
          <w:szCs w:val="28"/>
        </w:rPr>
        <w:t>nước :</w:t>
      </w:r>
      <w:proofErr w:type="gramEnd"/>
    </w:p>
    <w:p w:rsidR="001D3BF6" w:rsidRPr="001D3BF6" w:rsidRDefault="001D3BF6" w:rsidP="001D3BF6">
      <w:pPr>
        <w:autoSpaceDE w:val="0"/>
        <w:autoSpaceDN w:val="0"/>
        <w:spacing w:before="280"/>
        <w:ind w:firstLine="547"/>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 Đơn xin thuê mặt nước biển để nuôi trồng thủy sản;</w:t>
      </w:r>
    </w:p>
    <w:p w:rsidR="001D3BF6" w:rsidRPr="001D3BF6" w:rsidRDefault="001D3BF6" w:rsidP="001D3BF6">
      <w:pPr>
        <w:autoSpaceDE w:val="0"/>
        <w:autoSpaceDN w:val="0"/>
        <w:spacing w:before="280"/>
        <w:ind w:firstLine="547"/>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 xml:space="preserve">- Báo cáo dự </w:t>
      </w:r>
      <w:proofErr w:type="gramStart"/>
      <w:r w:rsidRPr="001D3BF6">
        <w:rPr>
          <w:rFonts w:ascii="Times New Roman" w:eastAsiaTheme="minorEastAsia" w:hAnsi="Times New Roman" w:cs="Times New Roman"/>
          <w:sz w:val="28"/>
          <w:szCs w:val="28"/>
        </w:rPr>
        <w:t>án</w:t>
      </w:r>
      <w:proofErr w:type="gramEnd"/>
      <w:r w:rsidRPr="001D3BF6">
        <w:rPr>
          <w:rFonts w:ascii="Times New Roman" w:eastAsiaTheme="minorEastAsia" w:hAnsi="Times New Roman" w:cs="Times New Roman"/>
          <w:sz w:val="28"/>
          <w:szCs w:val="28"/>
        </w:rPr>
        <w:t xml:space="preserve"> khả thi nuôi trồng thủy sản được cơ quan quản lý thủy sản cấp tỉnh thẩm định; </w:t>
      </w:r>
    </w:p>
    <w:p w:rsidR="001D3BF6" w:rsidRPr="001D3BF6" w:rsidRDefault="001D3BF6" w:rsidP="001D3BF6">
      <w:pPr>
        <w:autoSpaceDE w:val="0"/>
        <w:autoSpaceDN w:val="0"/>
        <w:spacing w:before="280"/>
        <w:ind w:firstLine="547"/>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 Bản thuyết minh về năng lực kỹ thuật nuôi trồng thủy sản;</w:t>
      </w:r>
    </w:p>
    <w:p w:rsidR="001D3BF6" w:rsidRPr="001D3BF6" w:rsidRDefault="001D3BF6" w:rsidP="001D3BF6">
      <w:pPr>
        <w:autoSpaceDE w:val="0"/>
        <w:autoSpaceDN w:val="0"/>
        <w:spacing w:before="280"/>
        <w:ind w:firstLine="547"/>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 Báo cáo đánh giá tác động môi trường nuôi trồng thuỷ sản và kế hoạch bảo vệ môi trường được cơ quan có thẩm quyền thẩm định, phê duyệt;</w:t>
      </w:r>
    </w:p>
    <w:p w:rsidR="001D3BF6" w:rsidRPr="001D3BF6" w:rsidRDefault="001D3BF6" w:rsidP="001D3BF6">
      <w:pPr>
        <w:autoSpaceDE w:val="0"/>
        <w:autoSpaceDN w:val="0"/>
        <w:spacing w:before="280"/>
        <w:ind w:firstLine="547"/>
        <w:rPr>
          <w:rFonts w:ascii="Times New Roman" w:eastAsiaTheme="minorEastAsia" w:hAnsi="Times New Roman" w:cs="Times New Roman"/>
          <w:sz w:val="28"/>
          <w:szCs w:val="28"/>
        </w:rPr>
      </w:pPr>
      <w:proofErr w:type="gramStart"/>
      <w:r w:rsidRPr="001D3BF6">
        <w:rPr>
          <w:rFonts w:ascii="Times New Roman" w:eastAsiaTheme="minorEastAsia" w:hAnsi="Times New Roman" w:cs="Times New Roman"/>
          <w:sz w:val="28"/>
          <w:szCs w:val="28"/>
        </w:rPr>
        <w:t>- Giấy chứng nhận đăng ký kinh doanh (bản sao hợp lệ).</w:t>
      </w:r>
      <w:proofErr w:type="gramEnd"/>
    </w:p>
    <w:p w:rsidR="001D3BF6" w:rsidRPr="001D3BF6" w:rsidRDefault="001D3BF6" w:rsidP="001D3BF6">
      <w:pPr>
        <w:autoSpaceDE w:val="0"/>
        <w:autoSpaceDN w:val="0"/>
        <w:spacing w:before="280"/>
        <w:ind w:firstLine="547"/>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b) Đối với các tổ chức, cá nhân nước ngoài:</w:t>
      </w:r>
    </w:p>
    <w:p w:rsidR="001D3BF6" w:rsidRPr="001D3BF6" w:rsidRDefault="001D3BF6" w:rsidP="001D3BF6">
      <w:pPr>
        <w:autoSpaceDE w:val="0"/>
        <w:autoSpaceDN w:val="0"/>
        <w:spacing w:before="280"/>
        <w:ind w:firstLine="547"/>
        <w:rPr>
          <w:rFonts w:ascii="Times New Roman" w:eastAsiaTheme="minorEastAsia" w:hAnsi="Times New Roman" w:cs="Times New Roman"/>
          <w:sz w:val="28"/>
          <w:szCs w:val="28"/>
        </w:rPr>
      </w:pPr>
      <w:r w:rsidRPr="001D3BF6">
        <w:rPr>
          <w:rFonts w:ascii="Times New Roman" w:eastAsiaTheme="minorEastAsia" w:hAnsi="Times New Roman" w:cs="Times New Roman"/>
          <w:sz w:val="24"/>
          <w:szCs w:val="24"/>
        </w:rPr>
        <w:t xml:space="preserve">-  </w:t>
      </w:r>
      <w:r w:rsidRPr="001D3BF6">
        <w:rPr>
          <w:rFonts w:ascii="Times New Roman" w:eastAsiaTheme="minorEastAsia" w:hAnsi="Times New Roman" w:cs="Times New Roman"/>
          <w:sz w:val="28"/>
          <w:szCs w:val="28"/>
        </w:rPr>
        <w:t>Đơn xin thuê mặt nước biển để nuôi trồng thủy sản;</w:t>
      </w:r>
    </w:p>
    <w:p w:rsidR="001D3BF6" w:rsidRPr="001D3BF6" w:rsidRDefault="001D3BF6" w:rsidP="001D3BF6">
      <w:pPr>
        <w:autoSpaceDE w:val="0"/>
        <w:autoSpaceDN w:val="0"/>
        <w:spacing w:before="280"/>
        <w:ind w:firstLine="547"/>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 Báo cáo đánh giá tác động môi trường nuôi trồng thuỷ sản và kế hoạch bảo vệ môi trường được cơ quan có thẩm quyền thẩm định, phê duyệt;</w:t>
      </w:r>
    </w:p>
    <w:p w:rsidR="001D3BF6" w:rsidRPr="001D3BF6" w:rsidRDefault="001D3BF6" w:rsidP="001D3BF6">
      <w:pPr>
        <w:autoSpaceDE w:val="0"/>
        <w:autoSpaceDN w:val="0"/>
        <w:spacing w:before="280"/>
        <w:ind w:firstLine="547"/>
        <w:rPr>
          <w:rFonts w:ascii="Times New Roman" w:eastAsiaTheme="minorEastAsia" w:hAnsi="Times New Roman" w:cs="Times New Roman"/>
          <w:sz w:val="28"/>
          <w:szCs w:val="28"/>
        </w:rPr>
      </w:pPr>
      <w:proofErr w:type="gramStart"/>
      <w:r w:rsidRPr="001D3BF6">
        <w:rPr>
          <w:rFonts w:ascii="Times New Roman" w:eastAsiaTheme="minorEastAsia" w:hAnsi="Times New Roman" w:cs="Times New Roman"/>
          <w:sz w:val="28"/>
          <w:szCs w:val="28"/>
        </w:rPr>
        <w:lastRenderedPageBreak/>
        <w:t>- Giấy phép đầu tư nước ngoài (bản sao hợp lệ).</w:t>
      </w:r>
      <w:proofErr w:type="gramEnd"/>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proofErr w:type="gramStart"/>
      <w:r w:rsidRPr="001D3BF6">
        <w:rPr>
          <w:rFonts w:ascii="Times New Roman" w:eastAsiaTheme="minorEastAsia" w:hAnsi="Times New Roman" w:cs="Times New Roman"/>
          <w:sz w:val="28"/>
          <w:szCs w:val="28"/>
        </w:rPr>
        <w:t>5. Trong thời hạn ba mươi (30) ngày làm việc, kể từ ngày nhận đủ hồ sơ hợp lệ, cơ quan có thẩm quyền xem xét, quyết định giao, cho thuê mặt nước biển và cấp Giấy chứng nhận quyền sử dụng mặt nước biển để nuôi trồng thuỷ sản.</w:t>
      </w:r>
      <w:proofErr w:type="gramEnd"/>
      <w:r w:rsidRPr="001D3BF6">
        <w:rPr>
          <w:rFonts w:ascii="Times New Roman" w:eastAsiaTheme="minorEastAsia" w:hAnsi="Times New Roman" w:cs="Times New Roman"/>
          <w:sz w:val="28"/>
          <w:szCs w:val="28"/>
        </w:rPr>
        <w:t xml:space="preserve"> Trường hợp không giao, không cho thuê mặt nước biển thì phải trả lời bằng văn bản và nêu rõ lý do.</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 xml:space="preserve">6. Cơ quan có thẩm quyền quyết định giao, cho thuê mặt nước biển để nuôi trồng thuỷ sản, đồng thời là cơ quan cấp và </w:t>
      </w:r>
      <w:proofErr w:type="gramStart"/>
      <w:r w:rsidRPr="001D3BF6">
        <w:rPr>
          <w:rFonts w:ascii="Times New Roman" w:eastAsiaTheme="minorEastAsia" w:hAnsi="Times New Roman" w:cs="Times New Roman"/>
          <w:sz w:val="28"/>
          <w:szCs w:val="28"/>
        </w:rPr>
        <w:t>thu</w:t>
      </w:r>
      <w:proofErr w:type="gramEnd"/>
      <w:r w:rsidRPr="001D3BF6">
        <w:rPr>
          <w:rFonts w:ascii="Times New Roman" w:eastAsiaTheme="minorEastAsia" w:hAnsi="Times New Roman" w:cs="Times New Roman"/>
          <w:sz w:val="28"/>
          <w:szCs w:val="28"/>
        </w:rPr>
        <w:t xml:space="preserve"> hồi Giấy chứng nhận quyền sử dụng mặt nước biển.</w:t>
      </w:r>
    </w:p>
    <w:p w:rsidR="001D3BF6" w:rsidRPr="001D3BF6" w:rsidRDefault="001D3BF6" w:rsidP="001D3BF6">
      <w:pPr>
        <w:autoSpaceDE w:val="0"/>
        <w:autoSpaceDN w:val="0"/>
        <w:spacing w:before="240"/>
        <w:ind w:firstLine="540"/>
        <w:rPr>
          <w:rFonts w:ascii="Times New Roman" w:eastAsiaTheme="minorEastAsia" w:hAnsi="Times New Roman" w:cs="Times New Roman"/>
          <w:b/>
          <w:bCs/>
          <w:sz w:val="28"/>
          <w:szCs w:val="28"/>
        </w:rPr>
      </w:pPr>
      <w:proofErr w:type="gramStart"/>
      <w:r w:rsidRPr="001D3BF6">
        <w:rPr>
          <w:rFonts w:ascii="Times New Roman" w:eastAsiaTheme="minorEastAsia" w:hAnsi="Times New Roman" w:cs="Times New Roman"/>
          <w:b/>
          <w:bCs/>
          <w:sz w:val="28"/>
          <w:szCs w:val="28"/>
        </w:rPr>
        <w:t>Điều 11.</w:t>
      </w:r>
      <w:proofErr w:type="gramEnd"/>
      <w:r w:rsidRPr="001D3BF6">
        <w:rPr>
          <w:rFonts w:ascii="Times New Roman" w:eastAsiaTheme="minorEastAsia" w:hAnsi="Times New Roman" w:cs="Times New Roman"/>
          <w:b/>
          <w:bCs/>
          <w:sz w:val="28"/>
          <w:szCs w:val="28"/>
        </w:rPr>
        <w:t xml:space="preserve"> Giao, cho thuê đất để nuôi trồng thuỷ sản</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 xml:space="preserve">Việc giao đất, cho thuê đất, trình tự, thủ tục giao đất, cho thuê đất và cấp giấy chứng nhận quyền sử dụng đất để nuôi trồng thủy sản được thực hiện </w:t>
      </w:r>
      <w:proofErr w:type="gramStart"/>
      <w:r w:rsidRPr="001D3BF6">
        <w:rPr>
          <w:rFonts w:ascii="Times New Roman" w:eastAsiaTheme="minorEastAsia" w:hAnsi="Times New Roman" w:cs="Times New Roman"/>
          <w:sz w:val="28"/>
          <w:szCs w:val="28"/>
        </w:rPr>
        <w:t>theo</w:t>
      </w:r>
      <w:proofErr w:type="gramEnd"/>
      <w:r w:rsidRPr="001D3BF6">
        <w:rPr>
          <w:rFonts w:ascii="Times New Roman" w:eastAsiaTheme="minorEastAsia" w:hAnsi="Times New Roman" w:cs="Times New Roman"/>
          <w:sz w:val="28"/>
          <w:szCs w:val="28"/>
        </w:rPr>
        <w:t xml:space="preserve"> các quy định của pháp luật về đất đai. Hồ sơ xin giao, thuê đất để nuôi trồng thủy sản áp dụng </w:t>
      </w:r>
      <w:proofErr w:type="gramStart"/>
      <w:r w:rsidRPr="001D3BF6">
        <w:rPr>
          <w:rFonts w:ascii="Times New Roman" w:eastAsiaTheme="minorEastAsia" w:hAnsi="Times New Roman" w:cs="Times New Roman"/>
          <w:sz w:val="28"/>
          <w:szCs w:val="28"/>
        </w:rPr>
        <w:t>theo</w:t>
      </w:r>
      <w:proofErr w:type="gramEnd"/>
      <w:r w:rsidRPr="001D3BF6">
        <w:rPr>
          <w:rFonts w:ascii="Times New Roman" w:eastAsiaTheme="minorEastAsia" w:hAnsi="Times New Roman" w:cs="Times New Roman"/>
          <w:sz w:val="28"/>
          <w:szCs w:val="28"/>
        </w:rPr>
        <w:t xml:space="preserve"> quy định tại Điều 10 Nghị định này.</w:t>
      </w:r>
    </w:p>
    <w:p w:rsidR="001D3BF6" w:rsidRPr="001D3BF6" w:rsidRDefault="001D3BF6" w:rsidP="001D3BF6">
      <w:pPr>
        <w:autoSpaceDE w:val="0"/>
        <w:autoSpaceDN w:val="0"/>
        <w:spacing w:before="240"/>
        <w:ind w:firstLine="540"/>
        <w:rPr>
          <w:rFonts w:ascii="Times New Roman" w:eastAsiaTheme="minorEastAsia" w:hAnsi="Times New Roman" w:cs="Times New Roman"/>
          <w:b/>
          <w:bCs/>
          <w:sz w:val="28"/>
          <w:szCs w:val="28"/>
        </w:rPr>
      </w:pPr>
      <w:proofErr w:type="gramStart"/>
      <w:r w:rsidRPr="001D3BF6">
        <w:rPr>
          <w:rFonts w:ascii="Times New Roman" w:eastAsiaTheme="minorEastAsia" w:hAnsi="Times New Roman" w:cs="Times New Roman"/>
          <w:b/>
          <w:bCs/>
          <w:sz w:val="28"/>
          <w:szCs w:val="28"/>
        </w:rPr>
        <w:t>Điều 12.</w:t>
      </w:r>
      <w:proofErr w:type="gramEnd"/>
      <w:r w:rsidRPr="001D3BF6">
        <w:rPr>
          <w:rFonts w:ascii="Times New Roman" w:eastAsiaTheme="minorEastAsia" w:hAnsi="Times New Roman" w:cs="Times New Roman"/>
          <w:b/>
          <w:bCs/>
          <w:sz w:val="28"/>
          <w:szCs w:val="28"/>
        </w:rPr>
        <w:t xml:space="preserve"> Hạn mức diện tích và thời hạn giao, cho thuê mặt nước biển để nuôi trồng thuỷ sản </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Hạn mức diện tích và thời hạn giao, cho thuê mặt nước biển để nuôi trồng thuỷ sản được quy định như sau:</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proofErr w:type="gramStart"/>
      <w:r w:rsidRPr="001D3BF6">
        <w:rPr>
          <w:rFonts w:ascii="Times New Roman" w:eastAsiaTheme="minorEastAsia" w:hAnsi="Times New Roman" w:cs="Times New Roman"/>
          <w:sz w:val="28"/>
          <w:szCs w:val="28"/>
        </w:rPr>
        <w:t>1. Diện tích mặt nước biển được giao để nuôi trồng thuỷ sản không quá một (01) ha.</w:t>
      </w:r>
      <w:proofErr w:type="gramEnd"/>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 xml:space="preserve">2. Diện tích mặt nước biển cho thuê để nuôi trồng thủy sản không quá ba mươi (30) ha trong vùng biển ba (3) hải lý trở vào bờ hoặc không quá một trăm (100) ha trong vùng biển cách bờ từ ba (3) hải lý trở ra. </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proofErr w:type="gramStart"/>
      <w:r w:rsidRPr="001D3BF6">
        <w:rPr>
          <w:rFonts w:ascii="Times New Roman" w:eastAsiaTheme="minorEastAsia" w:hAnsi="Times New Roman" w:cs="Times New Roman"/>
          <w:sz w:val="28"/>
          <w:szCs w:val="28"/>
        </w:rPr>
        <w:t>3. Thời hạn giao, cho thuê mặt nước biển để nuôi trồng thủy sản không quá hai mươi (20) năm, được tính từ ngày ghi trong quyết định giao, cho thuê mặt nước biển.</w:t>
      </w:r>
      <w:proofErr w:type="gramEnd"/>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 xml:space="preserve">4. Trường hợp diện tích mặt nước biển đã giao, cho thuê để nuôi trồng thuỷ sản mà không được sử dụng hết </w:t>
      </w:r>
      <w:proofErr w:type="gramStart"/>
      <w:r w:rsidRPr="001D3BF6">
        <w:rPr>
          <w:rFonts w:ascii="Times New Roman" w:eastAsiaTheme="minorEastAsia" w:hAnsi="Times New Roman" w:cs="Times New Roman"/>
          <w:sz w:val="28"/>
          <w:szCs w:val="28"/>
        </w:rPr>
        <w:t>theo</w:t>
      </w:r>
      <w:proofErr w:type="gramEnd"/>
      <w:r w:rsidRPr="001D3BF6">
        <w:rPr>
          <w:rFonts w:ascii="Times New Roman" w:eastAsiaTheme="minorEastAsia" w:hAnsi="Times New Roman" w:cs="Times New Roman"/>
          <w:sz w:val="28"/>
          <w:szCs w:val="28"/>
        </w:rPr>
        <w:t xml:space="preserve"> quy định của Bộ Thuỷ sản, thì bị thu hồi phần diện tích mặt nước biển không được sử dụng đó.</w:t>
      </w:r>
    </w:p>
    <w:p w:rsidR="001D3BF6" w:rsidRPr="001D3BF6" w:rsidRDefault="001D3BF6" w:rsidP="001D3BF6">
      <w:pPr>
        <w:autoSpaceDE w:val="0"/>
        <w:autoSpaceDN w:val="0"/>
        <w:spacing w:before="240"/>
        <w:ind w:firstLine="540"/>
        <w:rPr>
          <w:rFonts w:ascii="Times New Roman" w:eastAsiaTheme="minorEastAsia" w:hAnsi="Times New Roman" w:cs="Times New Roman"/>
          <w:b/>
          <w:bCs/>
          <w:sz w:val="28"/>
          <w:szCs w:val="28"/>
        </w:rPr>
      </w:pPr>
      <w:proofErr w:type="gramStart"/>
      <w:r w:rsidRPr="001D3BF6">
        <w:rPr>
          <w:rFonts w:ascii="Times New Roman" w:eastAsiaTheme="minorEastAsia" w:hAnsi="Times New Roman" w:cs="Times New Roman"/>
          <w:b/>
          <w:bCs/>
          <w:sz w:val="28"/>
          <w:szCs w:val="28"/>
        </w:rPr>
        <w:t>Điều 13.</w:t>
      </w:r>
      <w:proofErr w:type="gramEnd"/>
      <w:r w:rsidRPr="001D3BF6">
        <w:rPr>
          <w:rFonts w:ascii="Times New Roman" w:eastAsiaTheme="minorEastAsia" w:hAnsi="Times New Roman" w:cs="Times New Roman"/>
          <w:b/>
          <w:bCs/>
          <w:sz w:val="28"/>
          <w:szCs w:val="28"/>
        </w:rPr>
        <w:t xml:space="preserve"> Gia hạn thời hạn giao, cho thuê mặt nước biển để nuôi trồng thuỷ sản khi hết thời hạn quyền sử dụng</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proofErr w:type="gramStart"/>
      <w:r w:rsidRPr="001D3BF6">
        <w:rPr>
          <w:rFonts w:ascii="Times New Roman" w:eastAsiaTheme="minorEastAsia" w:hAnsi="Times New Roman" w:cs="Times New Roman"/>
          <w:sz w:val="28"/>
          <w:szCs w:val="28"/>
        </w:rPr>
        <w:t xml:space="preserve">1. Trước thời điểm hết hạn quyền sử dụng mặt nước biển sáu (6) tháng, tổ chức, cá nhân có nhu cầu tiếp tục sử dụng mặt nước biển để nuôi trồng thuỷ sản phải làm hồ sơ như quy định tại khoản 3, khoản 4 Điều 10 Nghị định </w:t>
      </w:r>
      <w:r w:rsidRPr="001D3BF6">
        <w:rPr>
          <w:rFonts w:ascii="Times New Roman" w:eastAsiaTheme="minorEastAsia" w:hAnsi="Times New Roman" w:cs="Times New Roman"/>
          <w:sz w:val="28"/>
          <w:szCs w:val="28"/>
        </w:rPr>
        <w:lastRenderedPageBreak/>
        <w:t>này, gửi đến cơ quan nhà nước có thẩm quyền để xin gia hạn được giao, thuê mặt nước biển.</w:t>
      </w:r>
      <w:proofErr w:type="gramEnd"/>
      <w:r w:rsidRPr="001D3BF6">
        <w:rPr>
          <w:rFonts w:ascii="Times New Roman" w:eastAsiaTheme="minorEastAsia" w:hAnsi="Times New Roman" w:cs="Times New Roman"/>
          <w:sz w:val="28"/>
          <w:szCs w:val="28"/>
        </w:rPr>
        <w:t xml:space="preserve"> </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proofErr w:type="gramStart"/>
      <w:r w:rsidRPr="001D3BF6">
        <w:rPr>
          <w:rFonts w:ascii="Times New Roman" w:eastAsiaTheme="minorEastAsia" w:hAnsi="Times New Roman" w:cs="Times New Roman"/>
          <w:sz w:val="28"/>
          <w:szCs w:val="28"/>
        </w:rPr>
        <w:t>2. Đối với tổ chức, cá nhân nước ngoài còn phải có bản sao hợp lệ Giấy phép đầu tư được gia hạn (nếu có).</w:t>
      </w:r>
      <w:proofErr w:type="gramEnd"/>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proofErr w:type="gramStart"/>
      <w:r w:rsidRPr="001D3BF6">
        <w:rPr>
          <w:rFonts w:ascii="Times New Roman" w:eastAsiaTheme="minorEastAsia" w:hAnsi="Times New Roman" w:cs="Times New Roman"/>
          <w:sz w:val="28"/>
          <w:szCs w:val="28"/>
        </w:rPr>
        <w:t>3. Thời hạn gia hạn giao, cho thuê mặt nước biển để nuôi trồng thủy sản không vượt quá thời hạn giao, cho thuê trước đó.</w:t>
      </w:r>
      <w:proofErr w:type="gramEnd"/>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proofErr w:type="gramStart"/>
      <w:r w:rsidRPr="001D3BF6">
        <w:rPr>
          <w:rFonts w:ascii="Times New Roman" w:eastAsiaTheme="minorEastAsia" w:hAnsi="Times New Roman" w:cs="Times New Roman"/>
          <w:sz w:val="28"/>
          <w:szCs w:val="28"/>
        </w:rPr>
        <w:t>4. Trong thời hạn ba mươi (30) ngày làm việc kể từ ngày nhận đủ hồ sơ hợp lệ, cơ quan có thẩm quyền xem xét, quyết định việc gia hạn thời hạn giao hoặc cho thuê và cấp lại Giấy chứng nhận quyền sử dụng mặt nước biển để nuôi trồng thủy sản.</w:t>
      </w:r>
      <w:proofErr w:type="gramEnd"/>
      <w:r w:rsidRPr="001D3BF6">
        <w:rPr>
          <w:rFonts w:ascii="Times New Roman" w:eastAsiaTheme="minorEastAsia" w:hAnsi="Times New Roman" w:cs="Times New Roman"/>
          <w:sz w:val="28"/>
          <w:szCs w:val="28"/>
        </w:rPr>
        <w:t xml:space="preserve"> Trường hợp không gia hạn thời hạn giao, cho thuê mặt nước biển thì phải trả lời bằng văn bản và nêu rõ lý do.</w:t>
      </w:r>
    </w:p>
    <w:p w:rsidR="001D3BF6" w:rsidRPr="001D3BF6" w:rsidRDefault="001D3BF6" w:rsidP="001D3BF6">
      <w:pPr>
        <w:autoSpaceDE w:val="0"/>
        <w:autoSpaceDN w:val="0"/>
        <w:spacing w:before="240"/>
        <w:ind w:firstLine="540"/>
        <w:rPr>
          <w:rFonts w:ascii="Times New Roman" w:eastAsiaTheme="minorEastAsia" w:hAnsi="Times New Roman" w:cs="Times New Roman"/>
          <w:b/>
          <w:bCs/>
          <w:sz w:val="28"/>
          <w:szCs w:val="28"/>
        </w:rPr>
      </w:pPr>
      <w:proofErr w:type="gramStart"/>
      <w:r w:rsidRPr="001D3BF6">
        <w:rPr>
          <w:rFonts w:ascii="Times New Roman" w:eastAsiaTheme="minorEastAsia" w:hAnsi="Times New Roman" w:cs="Times New Roman"/>
          <w:b/>
          <w:bCs/>
          <w:sz w:val="28"/>
          <w:szCs w:val="28"/>
        </w:rPr>
        <w:t>Điều 14.</w:t>
      </w:r>
      <w:proofErr w:type="gramEnd"/>
      <w:r w:rsidRPr="001D3BF6">
        <w:rPr>
          <w:rFonts w:ascii="Times New Roman" w:eastAsiaTheme="minorEastAsia" w:hAnsi="Times New Roman" w:cs="Times New Roman"/>
          <w:b/>
          <w:bCs/>
          <w:sz w:val="28"/>
          <w:szCs w:val="28"/>
        </w:rPr>
        <w:t xml:space="preserve"> Xử lý tài sản đã đầu tư trên mặt nước biển, tiền thuê mặt nước biển để nuôi trồng thuỷ sản khi mặt nước biển đã giao, cho thuê bị </w:t>
      </w:r>
      <w:proofErr w:type="gramStart"/>
      <w:r w:rsidRPr="001D3BF6">
        <w:rPr>
          <w:rFonts w:ascii="Times New Roman" w:eastAsiaTheme="minorEastAsia" w:hAnsi="Times New Roman" w:cs="Times New Roman"/>
          <w:b/>
          <w:bCs/>
          <w:sz w:val="28"/>
          <w:szCs w:val="28"/>
        </w:rPr>
        <w:t>thu</w:t>
      </w:r>
      <w:proofErr w:type="gramEnd"/>
      <w:r w:rsidRPr="001D3BF6">
        <w:rPr>
          <w:rFonts w:ascii="Times New Roman" w:eastAsiaTheme="minorEastAsia" w:hAnsi="Times New Roman" w:cs="Times New Roman"/>
          <w:b/>
          <w:bCs/>
          <w:sz w:val="28"/>
          <w:szCs w:val="28"/>
        </w:rPr>
        <w:t xml:space="preserve"> hồi hoặc tự nguyện trả lại.</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 xml:space="preserve">1. Tổ chức, cá nhân bị thu hồi hoặc tự nguyện trả lại diện tích mặt nước biển nuôi trồng thuỷ sản quy định tại điểm a, b, c và d khoản 1 Điều 29 Luật Thuỷ sản phải tự chịu trách nhiệm tháo dỡ, di chuyển tài sản đã đầu tư trên mặt nước biển đó. </w:t>
      </w:r>
      <w:proofErr w:type="gramStart"/>
      <w:r w:rsidRPr="001D3BF6">
        <w:rPr>
          <w:rFonts w:ascii="Times New Roman" w:eastAsiaTheme="minorEastAsia" w:hAnsi="Times New Roman" w:cs="Times New Roman"/>
          <w:sz w:val="28"/>
          <w:szCs w:val="28"/>
        </w:rPr>
        <w:t>Trường hợp thời hạn thuê chưa hết thì được Nhà nước trả lại số tiền thuê của thời gian còn lại (nếu đã trả trước).</w:t>
      </w:r>
      <w:proofErr w:type="gramEnd"/>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 xml:space="preserve">2. Đối với trường hợp </w:t>
      </w:r>
      <w:proofErr w:type="gramStart"/>
      <w:r w:rsidRPr="001D3BF6">
        <w:rPr>
          <w:rFonts w:ascii="Times New Roman" w:eastAsiaTheme="minorEastAsia" w:hAnsi="Times New Roman" w:cs="Times New Roman"/>
          <w:sz w:val="28"/>
          <w:szCs w:val="28"/>
        </w:rPr>
        <w:t>thu</w:t>
      </w:r>
      <w:proofErr w:type="gramEnd"/>
      <w:r w:rsidRPr="001D3BF6">
        <w:rPr>
          <w:rFonts w:ascii="Times New Roman" w:eastAsiaTheme="minorEastAsia" w:hAnsi="Times New Roman" w:cs="Times New Roman"/>
          <w:sz w:val="28"/>
          <w:szCs w:val="28"/>
        </w:rPr>
        <w:t xml:space="preserve"> hồi diện tích mặt nước biển quy định tại điểm đ khoản 1 Điều 29 Luật Thuỷ sản được quy định như sau: </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a) Được Nhà nước trả lại tiền thuê của thời gian còn lại (nếu đã trả trước);</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b) Được Nhà nước hỗ trợ chi phí di chuyển tài sản đã đầu tư trên mặt nước biển và thuỷ sản nuôi trồng (nếu có);</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c) Được bồi thường thiệt hại về thuỷ sản (nếu có);</w:t>
      </w:r>
    </w:p>
    <w:p w:rsidR="001D3BF6" w:rsidRPr="001D3BF6" w:rsidRDefault="001D3BF6" w:rsidP="001D3BF6">
      <w:pPr>
        <w:tabs>
          <w:tab w:val="left" w:pos="540"/>
        </w:tabs>
        <w:autoSpaceDE w:val="0"/>
        <w:autoSpaceDN w:val="0"/>
        <w:spacing w:before="240"/>
        <w:ind w:firstLine="540"/>
        <w:rPr>
          <w:rFonts w:ascii="Times New Roman" w:eastAsiaTheme="minorEastAsia" w:hAnsi="Times New Roman" w:cs="Times New Roman"/>
          <w:sz w:val="28"/>
          <w:szCs w:val="28"/>
        </w:rPr>
      </w:pPr>
      <w:proofErr w:type="gramStart"/>
      <w:r w:rsidRPr="001D3BF6">
        <w:rPr>
          <w:rFonts w:ascii="Times New Roman" w:eastAsiaTheme="minorEastAsia" w:hAnsi="Times New Roman" w:cs="Times New Roman"/>
          <w:sz w:val="28"/>
          <w:szCs w:val="28"/>
        </w:rPr>
        <w:t>d) Được ưu tiên giao, cho thuê mặt nước biển khác để nuôi trồng thuỷ sản nếu có nhu cầu và địa phương còn quỹ mặt nước biển để nuôi trồng thuỷ sản.</w:t>
      </w:r>
      <w:proofErr w:type="gramEnd"/>
    </w:p>
    <w:p w:rsidR="001D3BF6" w:rsidRPr="001D3BF6" w:rsidRDefault="001D3BF6" w:rsidP="001D3BF6">
      <w:pPr>
        <w:autoSpaceDE w:val="0"/>
        <w:autoSpaceDN w:val="0"/>
        <w:spacing w:before="240"/>
        <w:ind w:firstLine="540"/>
        <w:rPr>
          <w:rFonts w:ascii="Times New Roman" w:eastAsiaTheme="minorEastAsia" w:hAnsi="Times New Roman" w:cs="Times New Roman"/>
          <w:b/>
          <w:bCs/>
          <w:sz w:val="28"/>
          <w:szCs w:val="28"/>
        </w:rPr>
      </w:pPr>
      <w:proofErr w:type="gramStart"/>
      <w:r w:rsidRPr="001D3BF6">
        <w:rPr>
          <w:rFonts w:ascii="Times New Roman" w:eastAsiaTheme="minorEastAsia" w:hAnsi="Times New Roman" w:cs="Times New Roman"/>
          <w:b/>
          <w:bCs/>
          <w:sz w:val="28"/>
          <w:szCs w:val="28"/>
        </w:rPr>
        <w:t>Điều 15.</w:t>
      </w:r>
      <w:proofErr w:type="gramEnd"/>
      <w:r w:rsidRPr="001D3BF6">
        <w:rPr>
          <w:rFonts w:ascii="Times New Roman" w:eastAsiaTheme="minorEastAsia" w:hAnsi="Times New Roman" w:cs="Times New Roman"/>
          <w:b/>
          <w:bCs/>
          <w:sz w:val="28"/>
          <w:szCs w:val="28"/>
        </w:rPr>
        <w:t xml:space="preserve"> Chợ thuỷ sản đầu mối</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proofErr w:type="gramStart"/>
      <w:r w:rsidRPr="001D3BF6">
        <w:rPr>
          <w:rFonts w:ascii="Times New Roman" w:eastAsiaTheme="minorEastAsia" w:hAnsi="Times New Roman" w:cs="Times New Roman"/>
          <w:sz w:val="28"/>
          <w:szCs w:val="28"/>
        </w:rPr>
        <w:t>1. Nhà nước hỗ trợ đầu tư xây dựng cơ sở hạ tầng bao gồm: sàn giao dịch, hệ thống đường, điện, cấp nước, thoát nước trong chợ thuỷ sản đầu mối.</w:t>
      </w:r>
      <w:proofErr w:type="gramEnd"/>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proofErr w:type="gramStart"/>
      <w:r w:rsidRPr="001D3BF6">
        <w:rPr>
          <w:rFonts w:ascii="Times New Roman" w:eastAsiaTheme="minorEastAsia" w:hAnsi="Times New Roman" w:cs="Times New Roman"/>
          <w:sz w:val="28"/>
          <w:szCs w:val="28"/>
        </w:rPr>
        <w:lastRenderedPageBreak/>
        <w:t>2. Nhà nước khuyến khích và tạo điều kiện cho mọi thành phần kinh tế, các tổ chức, cá nhân, tham gia xây dựng, kinh doanh khai thác và quản lý chợ thủy sản đầu mối.</w:t>
      </w:r>
      <w:proofErr w:type="gramEnd"/>
    </w:p>
    <w:p w:rsidR="001D3BF6" w:rsidRPr="001D3BF6" w:rsidRDefault="001D3BF6" w:rsidP="001D3BF6">
      <w:pPr>
        <w:autoSpaceDE w:val="0"/>
        <w:autoSpaceDN w:val="0"/>
        <w:spacing w:before="240"/>
        <w:ind w:firstLine="540"/>
        <w:rPr>
          <w:rFonts w:ascii="Times New Roman" w:eastAsiaTheme="minorEastAsia" w:hAnsi="Times New Roman" w:cs="Times New Roman"/>
          <w:b/>
          <w:bCs/>
          <w:sz w:val="28"/>
          <w:szCs w:val="28"/>
        </w:rPr>
      </w:pPr>
      <w:proofErr w:type="gramStart"/>
      <w:r w:rsidRPr="001D3BF6">
        <w:rPr>
          <w:rFonts w:ascii="Times New Roman" w:eastAsiaTheme="minorEastAsia" w:hAnsi="Times New Roman" w:cs="Times New Roman"/>
          <w:b/>
          <w:bCs/>
          <w:sz w:val="28"/>
          <w:szCs w:val="28"/>
        </w:rPr>
        <w:t>Điều 16.</w:t>
      </w:r>
      <w:proofErr w:type="gramEnd"/>
      <w:r w:rsidRPr="001D3BF6">
        <w:rPr>
          <w:rFonts w:ascii="Times New Roman" w:eastAsiaTheme="minorEastAsia" w:hAnsi="Times New Roman" w:cs="Times New Roman"/>
          <w:b/>
          <w:bCs/>
          <w:sz w:val="28"/>
          <w:szCs w:val="28"/>
        </w:rPr>
        <w:t xml:space="preserve"> Hiệu lực thi hành</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proofErr w:type="gramStart"/>
      <w:r w:rsidRPr="001D3BF6">
        <w:rPr>
          <w:rFonts w:ascii="Times New Roman" w:eastAsiaTheme="minorEastAsia" w:hAnsi="Times New Roman" w:cs="Times New Roman"/>
          <w:sz w:val="28"/>
          <w:szCs w:val="28"/>
        </w:rPr>
        <w:t>Nghị định này có hiệu lực thi hành sau 15 ngày, kể từ ngày đăng         Công báo.</w:t>
      </w:r>
      <w:proofErr w:type="gramEnd"/>
    </w:p>
    <w:p w:rsidR="001D3BF6" w:rsidRPr="001D3BF6" w:rsidRDefault="001D3BF6" w:rsidP="001D3BF6">
      <w:pPr>
        <w:autoSpaceDE w:val="0"/>
        <w:autoSpaceDN w:val="0"/>
        <w:spacing w:before="240"/>
        <w:ind w:firstLine="540"/>
        <w:rPr>
          <w:rFonts w:ascii="Times New Roman" w:eastAsiaTheme="minorEastAsia" w:hAnsi="Times New Roman" w:cs="Times New Roman"/>
          <w:b/>
          <w:bCs/>
          <w:sz w:val="28"/>
          <w:szCs w:val="28"/>
        </w:rPr>
      </w:pPr>
      <w:proofErr w:type="gramStart"/>
      <w:r w:rsidRPr="001D3BF6">
        <w:rPr>
          <w:rFonts w:ascii="Times New Roman" w:eastAsiaTheme="minorEastAsia" w:hAnsi="Times New Roman" w:cs="Times New Roman"/>
          <w:b/>
          <w:bCs/>
          <w:sz w:val="28"/>
          <w:szCs w:val="28"/>
        </w:rPr>
        <w:t>Điều 17.</w:t>
      </w:r>
      <w:proofErr w:type="gramEnd"/>
      <w:r w:rsidRPr="001D3BF6">
        <w:rPr>
          <w:rFonts w:ascii="Times New Roman" w:eastAsiaTheme="minorEastAsia" w:hAnsi="Times New Roman" w:cs="Times New Roman"/>
          <w:b/>
          <w:bCs/>
          <w:sz w:val="28"/>
          <w:szCs w:val="28"/>
        </w:rPr>
        <w:t xml:space="preserve"> Trách nhiệm thi hành</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r w:rsidRPr="001D3BF6">
        <w:rPr>
          <w:rFonts w:ascii="Times New Roman" w:eastAsiaTheme="minorEastAsia" w:hAnsi="Times New Roman" w:cs="Times New Roman"/>
          <w:sz w:val="28"/>
          <w:szCs w:val="28"/>
        </w:rPr>
        <w:t>Bộ trưởng Bộ Thuỷ sản, các Bộ trưởng, Thủ trưởng cơ quan ngang Bộ, Thủ trưởng cơ quan thuộc Chính phủ và Chủ tịch Ủy ban nhân dân các tỉnh, thành phố trực thuộc Trung ương chịu trách nhiệm thi hành Nghị định này./.</w:t>
      </w:r>
    </w:p>
    <w:p w:rsidR="001D3BF6" w:rsidRPr="001D3BF6" w:rsidRDefault="001D3BF6" w:rsidP="001D3BF6">
      <w:pPr>
        <w:autoSpaceDE w:val="0"/>
        <w:autoSpaceDN w:val="0"/>
        <w:spacing w:before="240"/>
        <w:ind w:firstLine="540"/>
        <w:rPr>
          <w:rFonts w:ascii="Times New Roman" w:eastAsiaTheme="minorEastAsia" w:hAnsi="Times New Roman" w:cs="Times New Roman"/>
          <w:sz w:val="28"/>
          <w:szCs w:val="28"/>
        </w:rPr>
      </w:pPr>
    </w:p>
    <w:p w:rsidR="001D3BF6" w:rsidRPr="001D3BF6" w:rsidRDefault="001D3BF6" w:rsidP="001D3BF6">
      <w:pPr>
        <w:keepNext/>
        <w:autoSpaceDE w:val="0"/>
        <w:autoSpaceDN w:val="0"/>
        <w:jc w:val="center"/>
        <w:outlineLvl w:val="0"/>
        <w:rPr>
          <w:rFonts w:ascii="Times New Roman" w:eastAsiaTheme="minorEastAsia" w:hAnsi="Times New Roman" w:cs="Times New Roman"/>
          <w:b/>
          <w:bCs/>
          <w:sz w:val="26"/>
          <w:szCs w:val="26"/>
        </w:rPr>
      </w:pPr>
      <w:r w:rsidRPr="001D3BF6">
        <w:rPr>
          <w:rFonts w:ascii="Times New Roman" w:eastAsiaTheme="minorEastAsia" w:hAnsi="Times New Roman" w:cs="Times New Roman"/>
          <w:b/>
          <w:bCs/>
          <w:sz w:val="26"/>
          <w:szCs w:val="26"/>
        </w:rPr>
        <w:t xml:space="preserve">                                                               </w:t>
      </w:r>
      <w:proofErr w:type="gramStart"/>
      <w:r w:rsidRPr="001D3BF6">
        <w:rPr>
          <w:rFonts w:ascii="Times New Roman" w:eastAsiaTheme="minorEastAsia" w:hAnsi="Times New Roman" w:cs="Times New Roman"/>
          <w:b/>
          <w:bCs/>
          <w:sz w:val="26"/>
          <w:szCs w:val="26"/>
        </w:rPr>
        <w:t>TM.</w:t>
      </w:r>
      <w:proofErr w:type="gramEnd"/>
      <w:r w:rsidRPr="001D3BF6">
        <w:rPr>
          <w:rFonts w:ascii="Times New Roman" w:eastAsiaTheme="minorEastAsia" w:hAnsi="Times New Roman" w:cs="Times New Roman"/>
          <w:b/>
          <w:bCs/>
          <w:sz w:val="26"/>
          <w:szCs w:val="26"/>
        </w:rPr>
        <w:t xml:space="preserve"> CHÍNH PHỦ</w:t>
      </w:r>
    </w:p>
    <w:p w:rsidR="001D3BF6" w:rsidRPr="001D3BF6" w:rsidRDefault="001D3BF6" w:rsidP="001D3BF6">
      <w:pPr>
        <w:autoSpaceDE w:val="0"/>
        <w:autoSpaceDN w:val="0"/>
        <w:ind w:firstLine="720"/>
        <w:jc w:val="center"/>
        <w:rPr>
          <w:rFonts w:ascii="Times New Roman" w:eastAsiaTheme="minorEastAsia" w:hAnsi="Times New Roman" w:cs="Times New Roman"/>
          <w:sz w:val="28"/>
          <w:szCs w:val="28"/>
        </w:rPr>
      </w:pPr>
      <w:r w:rsidRPr="001D3BF6">
        <w:rPr>
          <w:rFonts w:ascii="Times New Roman" w:eastAsiaTheme="minorEastAsia" w:hAnsi="Times New Roman" w:cs="Times New Roman"/>
          <w:b/>
          <w:bCs/>
          <w:sz w:val="26"/>
          <w:szCs w:val="26"/>
        </w:rPr>
        <w:t xml:space="preserve">                                                    THỦ TƯỚNG</w:t>
      </w:r>
    </w:p>
    <w:p w:rsidR="001D3BF6" w:rsidRPr="001D3BF6" w:rsidRDefault="001D3BF6" w:rsidP="001D3BF6">
      <w:pPr>
        <w:autoSpaceDE w:val="0"/>
        <w:autoSpaceDN w:val="0"/>
        <w:spacing w:before="60" w:after="60" w:line="360" w:lineRule="atLeast"/>
        <w:ind w:firstLine="720"/>
        <w:rPr>
          <w:rFonts w:ascii="Times New Roman" w:eastAsiaTheme="minorEastAsia" w:hAnsi="Times New Roman" w:cs="Times New Roman"/>
          <w:sz w:val="28"/>
          <w:szCs w:val="28"/>
        </w:rPr>
      </w:pPr>
    </w:p>
    <w:p w:rsidR="001D3BF6" w:rsidRPr="001D3BF6" w:rsidRDefault="001D3BF6" w:rsidP="001D3BF6">
      <w:pPr>
        <w:keepNext/>
        <w:autoSpaceDE w:val="0"/>
        <w:autoSpaceDN w:val="0"/>
        <w:jc w:val="left"/>
        <w:outlineLvl w:val="0"/>
        <w:rPr>
          <w:rFonts w:ascii="Times New Roman" w:eastAsiaTheme="minorEastAsia" w:hAnsi="Times New Roman" w:cs="Times New Roman"/>
          <w:b/>
          <w:bCs/>
          <w:i/>
          <w:iCs/>
          <w:sz w:val="24"/>
          <w:szCs w:val="24"/>
        </w:rPr>
      </w:pPr>
      <w:r w:rsidRPr="001D3BF6">
        <w:rPr>
          <w:rFonts w:ascii="Times New Roman" w:eastAsiaTheme="minorEastAsia" w:hAnsi="Times New Roman" w:cs="Times New Roman"/>
          <w:b/>
          <w:bCs/>
          <w:i/>
          <w:iCs/>
          <w:sz w:val="24"/>
          <w:szCs w:val="24"/>
        </w:rPr>
        <w:t xml:space="preserve">Nơi nhận:              </w:t>
      </w:r>
    </w:p>
    <w:p w:rsidR="001D3BF6" w:rsidRPr="001D3BF6" w:rsidRDefault="001D3BF6" w:rsidP="001D3BF6">
      <w:pPr>
        <w:autoSpaceDE w:val="0"/>
        <w:autoSpaceDN w:val="0"/>
        <w:rPr>
          <w:rFonts w:ascii="Times New Roman" w:eastAsiaTheme="minorEastAsia" w:hAnsi="Times New Roman" w:cs="Times New Roman"/>
        </w:rPr>
      </w:pPr>
      <w:r w:rsidRPr="001D3BF6">
        <w:rPr>
          <w:rFonts w:ascii="Times New Roman" w:eastAsiaTheme="minorEastAsia" w:hAnsi="Times New Roman" w:cs="Times New Roman"/>
        </w:rPr>
        <w:t xml:space="preserve">- Ban Bí </w:t>
      </w:r>
      <w:proofErr w:type="gramStart"/>
      <w:r w:rsidRPr="001D3BF6">
        <w:rPr>
          <w:rFonts w:ascii="Times New Roman" w:eastAsiaTheme="minorEastAsia" w:hAnsi="Times New Roman" w:cs="Times New Roman"/>
        </w:rPr>
        <w:t>thư</w:t>
      </w:r>
      <w:proofErr w:type="gramEnd"/>
      <w:r w:rsidRPr="001D3BF6">
        <w:rPr>
          <w:rFonts w:ascii="Times New Roman" w:eastAsiaTheme="minorEastAsia" w:hAnsi="Times New Roman" w:cs="Times New Roman"/>
        </w:rPr>
        <w:t xml:space="preserve"> Trung ương Đảng,</w:t>
      </w:r>
    </w:p>
    <w:p w:rsidR="001D3BF6" w:rsidRPr="001D3BF6" w:rsidRDefault="001D3BF6" w:rsidP="001D3BF6">
      <w:pPr>
        <w:autoSpaceDE w:val="0"/>
        <w:autoSpaceDN w:val="0"/>
        <w:rPr>
          <w:rFonts w:ascii="Times New Roman" w:eastAsiaTheme="minorEastAsia" w:hAnsi="Times New Roman" w:cs="Times New Roman"/>
        </w:rPr>
      </w:pPr>
      <w:r w:rsidRPr="001D3BF6">
        <w:rPr>
          <w:rFonts w:ascii="Times New Roman" w:eastAsiaTheme="minorEastAsia" w:hAnsi="Times New Roman" w:cs="Times New Roman"/>
        </w:rPr>
        <w:t>- Thủ tướng, các PTT Chính phủ,</w:t>
      </w:r>
    </w:p>
    <w:p w:rsidR="001D3BF6" w:rsidRPr="001D3BF6" w:rsidRDefault="001D3BF6" w:rsidP="001D3BF6">
      <w:pPr>
        <w:autoSpaceDE w:val="0"/>
        <w:autoSpaceDN w:val="0"/>
        <w:rPr>
          <w:rFonts w:ascii="Times New Roman" w:eastAsiaTheme="minorEastAsia" w:hAnsi="Times New Roman" w:cs="Times New Roman"/>
        </w:rPr>
      </w:pPr>
      <w:r w:rsidRPr="001D3BF6">
        <w:rPr>
          <w:rFonts w:ascii="Times New Roman" w:eastAsiaTheme="minorEastAsia" w:hAnsi="Times New Roman" w:cs="Times New Roman"/>
        </w:rPr>
        <w:t xml:space="preserve">- Các Bộ, cơ quan ngang Bộ, </w:t>
      </w:r>
    </w:p>
    <w:p w:rsidR="001D3BF6" w:rsidRPr="001D3BF6" w:rsidRDefault="001D3BF6" w:rsidP="001D3BF6">
      <w:pPr>
        <w:autoSpaceDE w:val="0"/>
        <w:autoSpaceDN w:val="0"/>
        <w:rPr>
          <w:rFonts w:ascii="Times New Roman" w:eastAsiaTheme="minorEastAsia" w:hAnsi="Times New Roman" w:cs="Times New Roman"/>
        </w:rPr>
      </w:pPr>
      <w:r w:rsidRPr="001D3BF6">
        <w:rPr>
          <w:rFonts w:ascii="Times New Roman" w:eastAsiaTheme="minorEastAsia" w:hAnsi="Times New Roman" w:cs="Times New Roman"/>
        </w:rPr>
        <w:t xml:space="preserve">   </w:t>
      </w:r>
      <w:proofErr w:type="gramStart"/>
      <w:r w:rsidRPr="001D3BF6">
        <w:rPr>
          <w:rFonts w:ascii="Times New Roman" w:eastAsiaTheme="minorEastAsia" w:hAnsi="Times New Roman" w:cs="Times New Roman"/>
        </w:rPr>
        <w:t>cơ</w:t>
      </w:r>
      <w:proofErr w:type="gramEnd"/>
      <w:r w:rsidRPr="001D3BF6">
        <w:rPr>
          <w:rFonts w:ascii="Times New Roman" w:eastAsiaTheme="minorEastAsia" w:hAnsi="Times New Roman" w:cs="Times New Roman"/>
        </w:rPr>
        <w:t xml:space="preserve"> quan thuộc Chính phủ,</w:t>
      </w:r>
    </w:p>
    <w:p w:rsidR="001D3BF6" w:rsidRPr="001D3BF6" w:rsidRDefault="001D3BF6" w:rsidP="001D3BF6">
      <w:pPr>
        <w:autoSpaceDE w:val="0"/>
        <w:autoSpaceDN w:val="0"/>
        <w:rPr>
          <w:rFonts w:ascii="Times New Roman" w:eastAsiaTheme="minorEastAsia" w:hAnsi="Times New Roman" w:cs="Times New Roman"/>
          <w:spacing w:val="-8"/>
        </w:rPr>
      </w:pPr>
      <w:r w:rsidRPr="001D3BF6">
        <w:rPr>
          <w:rFonts w:ascii="Times New Roman" w:eastAsiaTheme="minorEastAsia" w:hAnsi="Times New Roman" w:cs="Times New Roman"/>
          <w:spacing w:val="-8"/>
        </w:rPr>
        <w:t xml:space="preserve">- HĐND, UBND các tỉnh, </w:t>
      </w:r>
    </w:p>
    <w:p w:rsidR="001D3BF6" w:rsidRPr="001D3BF6" w:rsidRDefault="001D3BF6" w:rsidP="001D3BF6">
      <w:pPr>
        <w:autoSpaceDE w:val="0"/>
        <w:autoSpaceDN w:val="0"/>
        <w:rPr>
          <w:rFonts w:ascii="Times New Roman" w:eastAsiaTheme="minorEastAsia" w:hAnsi="Times New Roman" w:cs="Times New Roman"/>
          <w:spacing w:val="-8"/>
        </w:rPr>
      </w:pPr>
      <w:r w:rsidRPr="001D3BF6">
        <w:rPr>
          <w:rFonts w:ascii="Times New Roman" w:eastAsiaTheme="minorEastAsia" w:hAnsi="Times New Roman" w:cs="Times New Roman"/>
          <w:spacing w:val="-8"/>
        </w:rPr>
        <w:t xml:space="preserve">   </w:t>
      </w:r>
      <w:proofErr w:type="gramStart"/>
      <w:r w:rsidRPr="001D3BF6">
        <w:rPr>
          <w:rFonts w:ascii="Times New Roman" w:eastAsiaTheme="minorEastAsia" w:hAnsi="Times New Roman" w:cs="Times New Roman"/>
          <w:spacing w:val="-8"/>
        </w:rPr>
        <w:t>thành</w:t>
      </w:r>
      <w:proofErr w:type="gramEnd"/>
      <w:r w:rsidRPr="001D3BF6">
        <w:rPr>
          <w:rFonts w:ascii="Times New Roman" w:eastAsiaTheme="minorEastAsia" w:hAnsi="Times New Roman" w:cs="Times New Roman"/>
          <w:spacing w:val="-8"/>
        </w:rPr>
        <w:t xml:space="preserve"> phố trực thuộc TW,</w:t>
      </w:r>
    </w:p>
    <w:p w:rsidR="001D3BF6" w:rsidRPr="001D3BF6" w:rsidRDefault="001D3BF6" w:rsidP="001D3BF6">
      <w:pPr>
        <w:autoSpaceDE w:val="0"/>
        <w:autoSpaceDN w:val="0"/>
        <w:rPr>
          <w:rFonts w:ascii="Times New Roman" w:eastAsiaTheme="minorEastAsia" w:hAnsi="Times New Roman" w:cs="Times New Roman"/>
        </w:rPr>
      </w:pPr>
      <w:r w:rsidRPr="001D3BF6">
        <w:rPr>
          <w:rFonts w:ascii="Times New Roman" w:eastAsiaTheme="minorEastAsia" w:hAnsi="Times New Roman" w:cs="Times New Roman"/>
        </w:rPr>
        <w:t>- Văn phòng Quốc hội,</w:t>
      </w:r>
    </w:p>
    <w:p w:rsidR="001D3BF6" w:rsidRPr="001D3BF6" w:rsidRDefault="001D3BF6" w:rsidP="001D3BF6">
      <w:pPr>
        <w:autoSpaceDE w:val="0"/>
        <w:autoSpaceDN w:val="0"/>
        <w:rPr>
          <w:rFonts w:ascii="Times New Roman" w:eastAsiaTheme="minorEastAsia" w:hAnsi="Times New Roman" w:cs="Times New Roman"/>
        </w:rPr>
      </w:pPr>
      <w:r w:rsidRPr="001D3BF6">
        <w:rPr>
          <w:rFonts w:ascii="Times New Roman" w:eastAsiaTheme="minorEastAsia" w:hAnsi="Times New Roman" w:cs="Times New Roman"/>
        </w:rPr>
        <w:t>- Hội đồng Dân tộc và các UB của Quốc hội,</w:t>
      </w:r>
    </w:p>
    <w:p w:rsidR="001D3BF6" w:rsidRPr="001D3BF6" w:rsidRDefault="001D3BF6" w:rsidP="001D3BF6">
      <w:pPr>
        <w:autoSpaceDE w:val="0"/>
        <w:autoSpaceDN w:val="0"/>
        <w:rPr>
          <w:rFonts w:ascii="Times New Roman" w:eastAsiaTheme="minorEastAsia" w:hAnsi="Times New Roman" w:cs="Times New Roman"/>
        </w:rPr>
      </w:pPr>
      <w:r w:rsidRPr="001D3BF6">
        <w:rPr>
          <w:rFonts w:ascii="Times New Roman" w:eastAsiaTheme="minorEastAsia" w:hAnsi="Times New Roman" w:cs="Times New Roman"/>
        </w:rPr>
        <w:t>- Văn phòng Chủ tịch nước,</w:t>
      </w:r>
    </w:p>
    <w:p w:rsidR="001D3BF6" w:rsidRPr="001D3BF6" w:rsidRDefault="001D3BF6" w:rsidP="001D3BF6">
      <w:pPr>
        <w:autoSpaceDE w:val="0"/>
        <w:autoSpaceDN w:val="0"/>
        <w:rPr>
          <w:rFonts w:ascii="Times New Roman" w:eastAsiaTheme="minorEastAsia" w:hAnsi="Times New Roman" w:cs="Times New Roman"/>
          <w:sz w:val="24"/>
          <w:szCs w:val="24"/>
        </w:rPr>
      </w:pPr>
      <w:r w:rsidRPr="001D3BF6">
        <w:rPr>
          <w:rFonts w:ascii="Times New Roman" w:eastAsiaTheme="minorEastAsia" w:hAnsi="Times New Roman" w:cs="Times New Roman"/>
          <w:sz w:val="24"/>
          <w:szCs w:val="24"/>
        </w:rPr>
        <w:t>- Văn phòng TW và các Ban của Đảng,</w:t>
      </w:r>
    </w:p>
    <w:p w:rsidR="001D3BF6" w:rsidRPr="001D3BF6" w:rsidRDefault="001D3BF6" w:rsidP="001D3BF6">
      <w:pPr>
        <w:autoSpaceDE w:val="0"/>
        <w:autoSpaceDN w:val="0"/>
        <w:rPr>
          <w:rFonts w:ascii="Times New Roman" w:eastAsiaTheme="minorEastAsia" w:hAnsi="Times New Roman" w:cs="Times New Roman"/>
          <w:sz w:val="24"/>
          <w:szCs w:val="24"/>
        </w:rPr>
      </w:pPr>
      <w:r w:rsidRPr="001D3BF6">
        <w:rPr>
          <w:rFonts w:ascii="Times New Roman" w:eastAsiaTheme="minorEastAsia" w:hAnsi="Times New Roman" w:cs="Times New Roman"/>
          <w:sz w:val="24"/>
          <w:szCs w:val="24"/>
        </w:rPr>
        <w:t>- Viện Kiểm sát nhân dân tối cao,</w:t>
      </w:r>
    </w:p>
    <w:p w:rsidR="001D3BF6" w:rsidRPr="001D3BF6" w:rsidRDefault="001D3BF6" w:rsidP="001D3BF6">
      <w:pPr>
        <w:autoSpaceDE w:val="0"/>
        <w:autoSpaceDN w:val="0"/>
        <w:rPr>
          <w:rFonts w:ascii="Times New Roman" w:eastAsiaTheme="minorEastAsia" w:hAnsi="Times New Roman" w:cs="Times New Roman"/>
          <w:b/>
          <w:bCs/>
        </w:rPr>
      </w:pPr>
      <w:r w:rsidRPr="001D3BF6">
        <w:rPr>
          <w:rFonts w:ascii="Times New Roman" w:eastAsiaTheme="minorEastAsia" w:hAnsi="Times New Roman" w:cs="Times New Roman"/>
        </w:rPr>
        <w:t xml:space="preserve">- Toà </w:t>
      </w:r>
      <w:proofErr w:type="gramStart"/>
      <w:r w:rsidRPr="001D3BF6">
        <w:rPr>
          <w:rFonts w:ascii="Times New Roman" w:eastAsiaTheme="minorEastAsia" w:hAnsi="Times New Roman" w:cs="Times New Roman"/>
        </w:rPr>
        <w:t>án</w:t>
      </w:r>
      <w:proofErr w:type="gramEnd"/>
      <w:r w:rsidRPr="001D3BF6">
        <w:rPr>
          <w:rFonts w:ascii="Times New Roman" w:eastAsiaTheme="minorEastAsia" w:hAnsi="Times New Roman" w:cs="Times New Roman"/>
        </w:rPr>
        <w:t xml:space="preserve"> nhân dân tối cao,</w:t>
      </w:r>
      <w:r w:rsidRPr="001D3BF6">
        <w:rPr>
          <w:rFonts w:ascii="Times New Roman" w:eastAsiaTheme="minorEastAsia" w:hAnsi="Times New Roman" w:cs="Times New Roman"/>
          <w:sz w:val="28"/>
          <w:szCs w:val="28"/>
        </w:rPr>
        <w:t xml:space="preserve">                                       </w:t>
      </w:r>
      <w:r w:rsidRPr="001D3BF6">
        <w:rPr>
          <w:rFonts w:ascii="Times New Roman" w:eastAsiaTheme="minorEastAsia" w:hAnsi="Times New Roman" w:cs="Times New Roman"/>
          <w:b/>
          <w:bCs/>
          <w:sz w:val="28"/>
          <w:szCs w:val="28"/>
        </w:rPr>
        <w:t>Phan Văn Khải đã ký</w:t>
      </w:r>
    </w:p>
    <w:p w:rsidR="001D3BF6" w:rsidRPr="001D3BF6" w:rsidRDefault="001D3BF6" w:rsidP="001D3BF6">
      <w:pPr>
        <w:autoSpaceDE w:val="0"/>
        <w:autoSpaceDN w:val="0"/>
        <w:rPr>
          <w:rFonts w:ascii="Times New Roman" w:eastAsiaTheme="minorEastAsia" w:hAnsi="Times New Roman" w:cs="Times New Roman"/>
        </w:rPr>
      </w:pPr>
      <w:r w:rsidRPr="001D3BF6">
        <w:rPr>
          <w:rFonts w:ascii="Times New Roman" w:eastAsiaTheme="minorEastAsia" w:hAnsi="Times New Roman" w:cs="Times New Roman"/>
        </w:rPr>
        <w:t>- Cơ quan Trung ương của các đoàn thể,</w:t>
      </w:r>
    </w:p>
    <w:p w:rsidR="001D3BF6" w:rsidRPr="001D3BF6" w:rsidRDefault="001D3BF6" w:rsidP="001D3BF6">
      <w:pPr>
        <w:autoSpaceDE w:val="0"/>
        <w:autoSpaceDN w:val="0"/>
        <w:rPr>
          <w:rFonts w:ascii="Times New Roman" w:eastAsiaTheme="minorEastAsia" w:hAnsi="Times New Roman" w:cs="Times New Roman"/>
        </w:rPr>
      </w:pPr>
      <w:r w:rsidRPr="001D3BF6">
        <w:rPr>
          <w:rFonts w:ascii="Times New Roman" w:eastAsiaTheme="minorEastAsia" w:hAnsi="Times New Roman" w:cs="Times New Roman"/>
        </w:rPr>
        <w:t>- Học viện Hành chính quốc gia,</w:t>
      </w:r>
    </w:p>
    <w:p w:rsidR="001D3BF6" w:rsidRPr="001D3BF6" w:rsidRDefault="001D3BF6" w:rsidP="001D3BF6">
      <w:pPr>
        <w:autoSpaceDE w:val="0"/>
        <w:autoSpaceDN w:val="0"/>
        <w:rPr>
          <w:rFonts w:ascii="Times New Roman" w:eastAsiaTheme="minorEastAsia" w:hAnsi="Times New Roman" w:cs="Times New Roman"/>
          <w:sz w:val="30"/>
          <w:szCs w:val="30"/>
        </w:rPr>
      </w:pPr>
      <w:r w:rsidRPr="001D3BF6">
        <w:rPr>
          <w:rFonts w:ascii="Times New Roman" w:eastAsiaTheme="minorEastAsia" w:hAnsi="Times New Roman" w:cs="Times New Roman"/>
        </w:rPr>
        <w:t>- Công báo,</w:t>
      </w:r>
      <w:r w:rsidRPr="001D3BF6">
        <w:rPr>
          <w:rFonts w:ascii="Times New Roman" w:eastAsiaTheme="minorEastAsia" w:hAnsi="Times New Roman" w:cs="Times New Roman"/>
        </w:rPr>
        <w:tab/>
      </w:r>
      <w:r w:rsidRPr="001D3BF6">
        <w:rPr>
          <w:rFonts w:ascii="Times New Roman" w:eastAsiaTheme="minorEastAsia" w:hAnsi="Times New Roman" w:cs="Times New Roman"/>
        </w:rPr>
        <w:tab/>
      </w:r>
      <w:r w:rsidRPr="001D3BF6">
        <w:rPr>
          <w:rFonts w:ascii="Times New Roman" w:eastAsiaTheme="minorEastAsia" w:hAnsi="Times New Roman" w:cs="Times New Roman"/>
        </w:rPr>
        <w:tab/>
      </w:r>
      <w:r w:rsidRPr="001D3BF6">
        <w:rPr>
          <w:rFonts w:ascii="Times New Roman" w:eastAsiaTheme="minorEastAsia" w:hAnsi="Times New Roman" w:cs="Times New Roman"/>
        </w:rPr>
        <w:tab/>
      </w:r>
      <w:r w:rsidRPr="001D3BF6">
        <w:rPr>
          <w:rFonts w:ascii="Times New Roman" w:eastAsiaTheme="minorEastAsia" w:hAnsi="Times New Roman" w:cs="Times New Roman"/>
          <w:sz w:val="30"/>
          <w:szCs w:val="30"/>
        </w:rPr>
        <w:t xml:space="preserve">   </w:t>
      </w:r>
    </w:p>
    <w:p w:rsidR="001D3BF6" w:rsidRPr="001D3BF6" w:rsidRDefault="001D3BF6" w:rsidP="001D3BF6">
      <w:pPr>
        <w:autoSpaceDE w:val="0"/>
        <w:autoSpaceDN w:val="0"/>
        <w:rPr>
          <w:rFonts w:ascii="Times New Roman" w:eastAsiaTheme="minorEastAsia" w:hAnsi="Times New Roman" w:cs="Times New Roman"/>
        </w:rPr>
      </w:pPr>
      <w:r w:rsidRPr="001D3BF6">
        <w:rPr>
          <w:rFonts w:ascii="Times New Roman" w:eastAsiaTheme="minorEastAsia" w:hAnsi="Times New Roman" w:cs="Times New Roman"/>
        </w:rPr>
        <w:t>- VPCP:  BTCN, TBNC, các PCN, BNC,</w:t>
      </w:r>
    </w:p>
    <w:p w:rsidR="001D3BF6" w:rsidRPr="001D3BF6" w:rsidRDefault="001D3BF6" w:rsidP="001D3BF6">
      <w:pPr>
        <w:autoSpaceDE w:val="0"/>
        <w:autoSpaceDN w:val="0"/>
        <w:rPr>
          <w:rFonts w:ascii="Times New Roman" w:eastAsiaTheme="minorEastAsia" w:hAnsi="Times New Roman" w:cs="Times New Roman"/>
        </w:rPr>
      </w:pPr>
      <w:r w:rsidRPr="001D3BF6">
        <w:rPr>
          <w:rFonts w:ascii="Times New Roman" w:eastAsiaTheme="minorEastAsia" w:hAnsi="Times New Roman" w:cs="Times New Roman"/>
        </w:rPr>
        <w:t xml:space="preserve">   Người phát ngôn của Thủ tướng Chính phủ,</w:t>
      </w:r>
    </w:p>
    <w:p w:rsidR="001D3BF6" w:rsidRPr="001D3BF6" w:rsidRDefault="001D3BF6" w:rsidP="001D3BF6">
      <w:pPr>
        <w:autoSpaceDE w:val="0"/>
        <w:autoSpaceDN w:val="0"/>
        <w:rPr>
          <w:rFonts w:ascii="Times New Roman" w:eastAsiaTheme="minorEastAsia" w:hAnsi="Times New Roman" w:cs="Times New Roman"/>
        </w:rPr>
      </w:pPr>
      <w:r w:rsidRPr="001D3BF6">
        <w:rPr>
          <w:rFonts w:ascii="Times New Roman" w:eastAsiaTheme="minorEastAsia" w:hAnsi="Times New Roman" w:cs="Times New Roman"/>
        </w:rPr>
        <w:t xml:space="preserve">    Ban Điều hành 112, </w:t>
      </w:r>
      <w:r w:rsidRPr="001D3BF6">
        <w:rPr>
          <w:rFonts w:ascii="Times New Roman" w:eastAsiaTheme="minorEastAsia" w:hAnsi="Times New Roman" w:cs="Times New Roman"/>
        </w:rPr>
        <w:tab/>
      </w:r>
    </w:p>
    <w:p w:rsidR="001D3BF6" w:rsidRPr="001D3BF6" w:rsidRDefault="001D3BF6" w:rsidP="001D3BF6">
      <w:pPr>
        <w:autoSpaceDE w:val="0"/>
        <w:autoSpaceDN w:val="0"/>
        <w:rPr>
          <w:rFonts w:ascii="Times New Roman" w:eastAsiaTheme="minorEastAsia" w:hAnsi="Times New Roman" w:cs="Times New Roman"/>
        </w:rPr>
      </w:pPr>
      <w:r w:rsidRPr="001D3BF6">
        <w:rPr>
          <w:rFonts w:ascii="Times New Roman" w:eastAsiaTheme="minorEastAsia" w:hAnsi="Times New Roman" w:cs="Times New Roman"/>
        </w:rPr>
        <w:t xml:space="preserve">    </w:t>
      </w:r>
      <w:proofErr w:type="gramStart"/>
      <w:r w:rsidRPr="001D3BF6">
        <w:rPr>
          <w:rFonts w:ascii="Times New Roman" w:eastAsiaTheme="minorEastAsia" w:hAnsi="Times New Roman" w:cs="Times New Roman"/>
        </w:rPr>
        <w:t>các</w:t>
      </w:r>
      <w:proofErr w:type="gramEnd"/>
      <w:r w:rsidRPr="001D3BF6">
        <w:rPr>
          <w:rFonts w:ascii="Times New Roman" w:eastAsiaTheme="minorEastAsia" w:hAnsi="Times New Roman" w:cs="Times New Roman"/>
        </w:rPr>
        <w:t xml:space="preserve"> Vụ, Cục, các đơn vị trực thuộc,  </w:t>
      </w:r>
    </w:p>
    <w:p w:rsidR="001D3BF6" w:rsidRPr="001D3BF6" w:rsidRDefault="001D3BF6" w:rsidP="001D3BF6">
      <w:pPr>
        <w:autoSpaceDE w:val="0"/>
        <w:autoSpaceDN w:val="0"/>
        <w:jc w:val="left"/>
        <w:rPr>
          <w:rFonts w:ascii="Times New Roman" w:eastAsiaTheme="minorEastAsia" w:hAnsi="Times New Roman" w:cs="Times New Roman"/>
          <w:b/>
          <w:bCs/>
          <w:sz w:val="26"/>
          <w:szCs w:val="26"/>
        </w:rPr>
      </w:pPr>
      <w:proofErr w:type="gramStart"/>
      <w:r w:rsidRPr="001D3BF6">
        <w:rPr>
          <w:rFonts w:ascii="Times New Roman" w:eastAsiaTheme="minorEastAsia" w:hAnsi="Times New Roman" w:cs="Times New Roman"/>
        </w:rPr>
        <w:t>- Lưu: NN (4), VT.</w:t>
      </w:r>
      <w:proofErr w:type="gramEnd"/>
      <w:r w:rsidRPr="001D3BF6">
        <w:rPr>
          <w:rFonts w:ascii="Times New Roman" w:eastAsiaTheme="minorEastAsia" w:hAnsi="Times New Roman" w:cs="Times New Roman"/>
        </w:rPr>
        <w:t xml:space="preserve"> </w:t>
      </w:r>
      <w:r w:rsidRPr="001D3BF6">
        <w:rPr>
          <w:rFonts w:ascii="Times New Roman" w:eastAsiaTheme="minorEastAsia" w:hAnsi="Times New Roman" w:cs="Times New Roman"/>
          <w:sz w:val="24"/>
          <w:szCs w:val="24"/>
        </w:rPr>
        <w:tab/>
      </w:r>
      <w:r w:rsidRPr="001D3BF6">
        <w:rPr>
          <w:rFonts w:ascii="Times New Roman" w:eastAsiaTheme="minorEastAsia" w:hAnsi="Times New Roman" w:cs="Times New Roman"/>
          <w:b/>
          <w:bCs/>
          <w:sz w:val="24"/>
          <w:szCs w:val="24"/>
        </w:rPr>
        <w:tab/>
      </w:r>
      <w:r w:rsidRPr="001D3BF6">
        <w:rPr>
          <w:rFonts w:ascii="Times New Roman" w:eastAsiaTheme="minorEastAsia" w:hAnsi="Times New Roman" w:cs="Times New Roman"/>
          <w:b/>
          <w:bCs/>
          <w:sz w:val="26"/>
          <w:szCs w:val="26"/>
        </w:rPr>
        <w:t xml:space="preserve"> </w:t>
      </w:r>
    </w:p>
    <w:p w:rsidR="001D3BF6" w:rsidRPr="001D3BF6" w:rsidRDefault="001D3BF6" w:rsidP="001D3BF6">
      <w:pPr>
        <w:autoSpaceDE w:val="0"/>
        <w:autoSpaceDN w:val="0"/>
        <w:jc w:val="center"/>
        <w:rPr>
          <w:rFonts w:ascii="Times New Roman" w:eastAsiaTheme="minorEastAsia" w:hAnsi="Times New Roman" w:cs="Times New Roman"/>
          <w:b/>
          <w:bCs/>
          <w:sz w:val="26"/>
          <w:szCs w:val="26"/>
        </w:rPr>
      </w:pPr>
    </w:p>
    <w:p w:rsidR="001D3BF6" w:rsidRPr="001D3BF6" w:rsidRDefault="001D3BF6" w:rsidP="001D3BF6">
      <w:pPr>
        <w:autoSpaceDE w:val="0"/>
        <w:autoSpaceDN w:val="0"/>
        <w:jc w:val="center"/>
        <w:rPr>
          <w:rFonts w:ascii="Times New Roman" w:eastAsiaTheme="minorEastAsia" w:hAnsi="Times New Roman" w:cs="Times New Roman"/>
          <w:b/>
          <w:bCs/>
          <w:sz w:val="26"/>
          <w:szCs w:val="26"/>
        </w:rPr>
      </w:pPr>
    </w:p>
    <w:p w:rsidR="001D3BF6" w:rsidRPr="001D3BF6" w:rsidRDefault="001D3BF6" w:rsidP="001D3BF6">
      <w:pPr>
        <w:autoSpaceDE w:val="0"/>
        <w:autoSpaceDN w:val="0"/>
        <w:jc w:val="center"/>
        <w:rPr>
          <w:rFonts w:ascii="Times New Roman" w:eastAsiaTheme="minorEastAsia" w:hAnsi="Times New Roman" w:cs="Times New Roman"/>
          <w:b/>
          <w:bCs/>
          <w:sz w:val="26"/>
          <w:szCs w:val="26"/>
        </w:rPr>
      </w:pPr>
    </w:p>
    <w:p w:rsidR="001D3BF6" w:rsidRPr="001D3BF6" w:rsidRDefault="001D3BF6" w:rsidP="001D3BF6">
      <w:pPr>
        <w:autoSpaceDE w:val="0"/>
        <w:autoSpaceDN w:val="0"/>
        <w:jc w:val="center"/>
        <w:rPr>
          <w:rFonts w:ascii="Times New Roman" w:eastAsiaTheme="minorEastAsia" w:hAnsi="Times New Roman" w:cs="Times New Roman"/>
          <w:b/>
          <w:bCs/>
          <w:sz w:val="26"/>
          <w:szCs w:val="26"/>
        </w:rPr>
      </w:pPr>
    </w:p>
    <w:p w:rsidR="001D3BF6" w:rsidRPr="001D3BF6" w:rsidRDefault="001D3BF6" w:rsidP="001D3BF6">
      <w:pPr>
        <w:autoSpaceDE w:val="0"/>
        <w:autoSpaceDN w:val="0"/>
        <w:jc w:val="center"/>
        <w:rPr>
          <w:rFonts w:ascii="Times New Roman" w:eastAsiaTheme="minorEastAsia" w:hAnsi="Times New Roman" w:cs="Times New Roman"/>
          <w:b/>
          <w:bCs/>
          <w:sz w:val="26"/>
          <w:szCs w:val="26"/>
        </w:rPr>
      </w:pPr>
    </w:p>
    <w:p w:rsidR="001D3BF6" w:rsidRPr="001D3BF6" w:rsidRDefault="001D3BF6" w:rsidP="001D3BF6">
      <w:pPr>
        <w:autoSpaceDE w:val="0"/>
        <w:autoSpaceDN w:val="0"/>
        <w:jc w:val="center"/>
        <w:rPr>
          <w:rFonts w:ascii="Times New Roman" w:eastAsiaTheme="minorEastAsia" w:hAnsi="Times New Roman" w:cs="Times New Roman"/>
          <w:b/>
          <w:bCs/>
          <w:sz w:val="26"/>
          <w:szCs w:val="26"/>
        </w:rPr>
      </w:pPr>
    </w:p>
    <w:p w:rsidR="001D3BF6" w:rsidRPr="001D3BF6" w:rsidRDefault="001D3BF6" w:rsidP="001D3BF6">
      <w:pPr>
        <w:autoSpaceDE w:val="0"/>
        <w:autoSpaceDN w:val="0"/>
        <w:jc w:val="center"/>
        <w:rPr>
          <w:rFonts w:ascii="Times New Roman" w:eastAsiaTheme="minorEastAsia" w:hAnsi="Times New Roman" w:cs="Times New Roman"/>
          <w:b/>
          <w:bCs/>
          <w:sz w:val="26"/>
          <w:szCs w:val="26"/>
        </w:rPr>
      </w:pPr>
    </w:p>
    <w:p w:rsidR="001D3BF6" w:rsidRPr="001D3BF6" w:rsidRDefault="001D3BF6" w:rsidP="001D3BF6">
      <w:pPr>
        <w:autoSpaceDE w:val="0"/>
        <w:autoSpaceDN w:val="0"/>
        <w:jc w:val="center"/>
        <w:rPr>
          <w:rFonts w:ascii="Times New Roman" w:eastAsiaTheme="minorEastAsia" w:hAnsi="Times New Roman" w:cs="Times New Roman"/>
          <w:b/>
          <w:bCs/>
          <w:sz w:val="26"/>
          <w:szCs w:val="26"/>
        </w:rPr>
      </w:pPr>
    </w:p>
    <w:p w:rsidR="001D3BF6" w:rsidRPr="001D3BF6" w:rsidRDefault="001D3BF6" w:rsidP="001D3BF6">
      <w:pPr>
        <w:keepNext/>
        <w:tabs>
          <w:tab w:val="left" w:pos="4577"/>
          <w:tab w:val="left" w:pos="4813"/>
          <w:tab w:val="left" w:pos="9288"/>
        </w:tabs>
        <w:autoSpaceDE w:val="0"/>
        <w:autoSpaceDN w:val="0"/>
        <w:ind w:left="-219"/>
        <w:jc w:val="left"/>
        <w:outlineLvl w:val="0"/>
        <w:rPr>
          <w:rFonts w:ascii="Times New Roman" w:eastAsiaTheme="minorEastAsia" w:hAnsi="Times New Roman" w:cs="Times New Roman"/>
          <w:b/>
          <w:bCs/>
          <w:sz w:val="28"/>
          <w:szCs w:val="28"/>
        </w:rPr>
      </w:pPr>
      <w:r w:rsidRPr="001D3BF6">
        <w:rPr>
          <w:rFonts w:ascii="Times New Roman" w:eastAsiaTheme="minorEastAsia" w:hAnsi="Times New Roman" w:cs="Times New Roman"/>
          <w:b/>
          <w:bCs/>
          <w:sz w:val="28"/>
          <w:szCs w:val="28"/>
        </w:rPr>
        <w:lastRenderedPageBreak/>
        <w:t xml:space="preserve">        </w:t>
      </w:r>
    </w:p>
    <w:p w:rsidR="001D3BF6" w:rsidRPr="001D3BF6" w:rsidRDefault="001D3BF6" w:rsidP="001D3BF6">
      <w:pPr>
        <w:autoSpaceDE w:val="0"/>
        <w:autoSpaceDN w:val="0"/>
        <w:spacing w:before="60" w:after="60" w:line="360" w:lineRule="atLeast"/>
        <w:ind w:firstLine="720"/>
        <w:rPr>
          <w:rFonts w:ascii="Times New Roman" w:eastAsiaTheme="minorEastAsia" w:hAnsi="Times New Roman" w:cs="Times New Roman"/>
          <w:sz w:val="28"/>
          <w:szCs w:val="28"/>
        </w:rPr>
      </w:pPr>
    </w:p>
    <w:p w:rsidR="001D3BF6" w:rsidRPr="001D3BF6" w:rsidRDefault="001D3BF6" w:rsidP="001D3BF6">
      <w:pPr>
        <w:autoSpaceDE w:val="0"/>
        <w:autoSpaceDN w:val="0"/>
        <w:jc w:val="left"/>
        <w:rPr>
          <w:rFonts w:ascii="Times New Roman" w:eastAsiaTheme="minorEastAsia" w:hAnsi="Times New Roman" w:cs="Times New Roman"/>
          <w:sz w:val="24"/>
          <w:szCs w:val="24"/>
        </w:rPr>
      </w:pPr>
    </w:p>
    <w:p w:rsidR="00FD0EB5" w:rsidRDefault="001D3BF6"/>
    <w:sectPr w:rsidR="00FD0EB5" w:rsidSect="00957D58">
      <w:headerReference w:type="default" r:id="rId4"/>
      <w:pgSz w:w="11909" w:h="16834" w:code="9"/>
      <w:pgMar w:top="1440" w:right="1152" w:bottom="1152" w:left="2016" w:header="720" w:footer="576"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D58" w:rsidRDefault="001D3BF6">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57D58" w:rsidRDefault="001D3B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grammar="clean"/>
  <w:defaultTabStop w:val="720"/>
  <w:characterSpacingControl w:val="doNotCompress"/>
  <w:compat/>
  <w:rsids>
    <w:rsidRoot w:val="001D3BF6"/>
    <w:rsid w:val="00192B7E"/>
    <w:rsid w:val="001D3BF6"/>
    <w:rsid w:val="002001B0"/>
    <w:rsid w:val="005A34AC"/>
    <w:rsid w:val="007A38DA"/>
    <w:rsid w:val="00A676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4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3BF6"/>
    <w:pPr>
      <w:tabs>
        <w:tab w:val="center" w:pos="4680"/>
        <w:tab w:val="right" w:pos="9360"/>
      </w:tabs>
    </w:pPr>
  </w:style>
  <w:style w:type="character" w:customStyle="1" w:styleId="HeaderChar">
    <w:name w:val="Header Char"/>
    <w:basedOn w:val="DefaultParagraphFont"/>
    <w:link w:val="Header"/>
    <w:uiPriority w:val="99"/>
    <w:semiHidden/>
    <w:rsid w:val="001D3BF6"/>
  </w:style>
  <w:style w:type="character" w:styleId="PageNumber">
    <w:name w:val="page number"/>
    <w:basedOn w:val="DefaultParagraphFont"/>
    <w:uiPriority w:val="99"/>
    <w:rsid w:val="001D3BF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BEC49C-0D69-4056-A2D3-B35FA8707B4F}"/>
</file>

<file path=customXml/itemProps2.xml><?xml version="1.0" encoding="utf-8"?>
<ds:datastoreItem xmlns:ds="http://schemas.openxmlformats.org/officeDocument/2006/customXml" ds:itemID="{A0CEB8C7-DE0E-4274-8A0C-07439BF1344A}"/>
</file>

<file path=customXml/itemProps3.xml><?xml version="1.0" encoding="utf-8"?>
<ds:datastoreItem xmlns:ds="http://schemas.openxmlformats.org/officeDocument/2006/customXml" ds:itemID="{E6BA7102-87A9-4742-A2AB-F02B38F4078D}"/>
</file>

<file path=docProps/app.xml><?xml version="1.0" encoding="utf-8"?>
<Properties xmlns="http://schemas.openxmlformats.org/officeDocument/2006/extended-properties" xmlns:vt="http://schemas.openxmlformats.org/officeDocument/2006/docPropsVTypes">
  <Template>Normal</Template>
  <TotalTime>1</TotalTime>
  <Pages>9</Pages>
  <Words>2045</Words>
  <Characters>11657</Characters>
  <Application>Microsoft Office Word</Application>
  <DocSecurity>0</DocSecurity>
  <Lines>97</Lines>
  <Paragraphs>27</Paragraphs>
  <ScaleCrop>false</ScaleCrop>
  <Company/>
  <LinksUpToDate>false</LinksUpToDate>
  <CharactersWithSpaces>13675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daind.pc</dc:creator>
  <cp:lastModifiedBy>daind.pc</cp:lastModifiedBy>
  <cp:revision>1</cp:revision>
  <dcterms:created xsi:type="dcterms:W3CDTF">2016-06-22T09:58:00Z</dcterms:created>
  <dcterms:modified xsi:type="dcterms:W3CDTF">2016-06-22T09:59:00Z</dcterms:modified>
</cp:coreProperties>
</file>