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60"/>
      </w:tblGrid>
      <w:tr w:rsidR="008E3D61" w:rsidRPr="004010DA" w:rsidTr="008E3D61">
        <w:trPr>
          <w:trHeight w:val="1560"/>
        </w:trPr>
        <w:tc>
          <w:tcPr>
            <w:tcW w:w="3227" w:type="dxa"/>
          </w:tcPr>
          <w:p w:rsidR="008E3D61" w:rsidRPr="008E3D61" w:rsidRDefault="008E3D61" w:rsidP="008E3D61">
            <w:pPr>
              <w:pStyle w:val="Heading3"/>
              <w:keepNext w:val="0"/>
              <w:outlineLvl w:val="2"/>
              <w:rPr>
                <w:sz w:val="26"/>
              </w:rPr>
            </w:pPr>
            <w:r w:rsidRPr="008E3D61">
              <w:rPr>
                <w:sz w:val="26"/>
              </w:rPr>
              <w:t>ỦY BAN NHÂN DÂN</w:t>
            </w:r>
          </w:p>
          <w:p w:rsidR="008E3D61" w:rsidRPr="008E3D61" w:rsidRDefault="008E3D61" w:rsidP="008E3D61">
            <w:pPr>
              <w:pStyle w:val="Heading3"/>
              <w:keepNext w:val="0"/>
              <w:outlineLvl w:val="2"/>
              <w:rPr>
                <w:bCs/>
                <w:sz w:val="26"/>
              </w:rPr>
            </w:pPr>
            <w:r w:rsidRPr="008E3D61">
              <w:rPr>
                <w:bCs/>
                <w:sz w:val="26"/>
              </w:rPr>
              <w:t>THÀNH PHỐ ĐÀ NẴNG</w:t>
            </w:r>
          </w:p>
          <w:p w:rsidR="008E3D61" w:rsidRPr="008E3D61" w:rsidRDefault="006F4853" w:rsidP="008E3D61">
            <w:pPr>
              <w:pStyle w:val="Heading1"/>
              <w:keepNext w:val="0"/>
              <w:outlineLvl w:val="0"/>
              <w:rPr>
                <w:rFonts w:ascii="Times New Roman" w:hAnsi="Times New Roman"/>
                <w:sz w:val="26"/>
              </w:rPr>
            </w:pPr>
            <w:r>
              <w:rPr>
                <w:noProof/>
                <w:sz w:val="26"/>
              </w:rPr>
              <w:pict>
                <v:shapetype id="_x0000_t32" coordsize="21600,21600" o:spt="32" o:oned="t" path="m,l21600,21600e" filled="f">
                  <v:path arrowok="t" fillok="f" o:connecttype="none"/>
                  <o:lock v:ext="edit" shapetype="t"/>
                </v:shapetype>
                <v:shape id="Straight Arrow Connector 2" o:spid="_x0000_s1030" type="#_x0000_t32" style="position:absolute;left:0;text-align:left;margin-left:23.7pt;margin-top:5.65pt;width:94.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"/>
              </w:pict>
            </w:r>
          </w:p>
          <w:p w:rsidR="008E3D61" w:rsidRPr="008E3D61" w:rsidRDefault="008E3D61" w:rsidP="008E3D61">
            <w:pPr>
              <w:pStyle w:val="Heading1"/>
              <w:keepNext w:val="0"/>
              <w:outlineLvl w:val="0"/>
              <w:rPr>
                <w:rFonts w:ascii="Times New Roman" w:hAnsi="Times New Roman"/>
                <w:b w:val="0"/>
                <w:bCs/>
                <w:iCs/>
                <w:sz w:val="26"/>
                <w:szCs w:val="30"/>
              </w:rPr>
            </w:pPr>
            <w:r w:rsidRPr="008E3D61">
              <w:rPr>
                <w:rFonts w:ascii="Times New Roman" w:hAnsi="Times New Roman"/>
                <w:b w:val="0"/>
                <w:sz w:val="26"/>
              </w:rPr>
              <w:t>Số: 32/2010</w:t>
            </w:r>
            <w:r w:rsidRPr="008E3D61">
              <w:rPr>
                <w:rFonts w:ascii="Times New Roman" w:hAnsi="Times New Roman"/>
                <w:b w:val="0"/>
                <w:sz w:val="26"/>
                <w:szCs w:val="28"/>
              </w:rPr>
              <w:t>/QĐ-UBND</w:t>
            </w:r>
          </w:p>
        </w:tc>
        <w:tc>
          <w:tcPr>
            <w:tcW w:w="6060" w:type="dxa"/>
          </w:tcPr>
          <w:p w:rsidR="008E3D61" w:rsidRPr="008E3D61" w:rsidRDefault="008E3D61" w:rsidP="008E3D61">
            <w:pPr>
              <w:pStyle w:val="Heading7"/>
              <w:keepNext w:val="0"/>
              <w:ind w:right="0"/>
              <w:jc w:val="center"/>
              <w:outlineLvl w:val="6"/>
            </w:pPr>
            <w:r w:rsidRPr="008E3D61">
              <w:t>CỘNG HOÀ XÃ HỘI CHỦ NGHĨA VIỆT NAM</w:t>
            </w:r>
          </w:p>
          <w:p w:rsidR="008E3D61" w:rsidRPr="008E3D61" w:rsidRDefault="008E3D61" w:rsidP="008E3D61">
            <w:pPr>
              <w:pStyle w:val="Heading8"/>
              <w:keepNext w:val="0"/>
              <w:ind w:right="0"/>
              <w:outlineLvl w:val="7"/>
              <w:rPr>
                <w:sz w:val="26"/>
                <w:szCs w:val="27"/>
              </w:rPr>
            </w:pPr>
            <w:r w:rsidRPr="008E3D61">
              <w:rPr>
                <w:sz w:val="26"/>
                <w:szCs w:val="27"/>
              </w:rPr>
              <w:t>Độc lập - Tự do - Hạnh phúc</w:t>
            </w:r>
          </w:p>
          <w:p w:rsidR="008E3D61" w:rsidRPr="008E3D61" w:rsidRDefault="006F4853" w:rsidP="008E3D61">
            <w:pPr>
              <w:pStyle w:val="Heading1"/>
              <w:keepNext w:val="0"/>
              <w:outlineLvl w:val="0"/>
              <w:rPr>
                <w:rFonts w:ascii="Times New Roman" w:hAnsi="Times New Roman"/>
                <w:sz w:val="26"/>
              </w:rPr>
            </w:pPr>
            <w:r>
              <w:rPr>
                <w:noProof/>
                <w:sz w:val="26"/>
              </w:rPr>
              <w:pict>
                <v:shape id="Straight Arrow Connector 1" o:spid="_x0000_s1029" type="#_x0000_t32" style="position:absolute;left:0;text-align:left;margin-left:68.6pt;margin-top:5.65pt;width:156.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"/>
              </w:pict>
            </w:r>
          </w:p>
          <w:p w:rsidR="008E3D61" w:rsidRPr="008E3D61" w:rsidRDefault="008E3D61" w:rsidP="008E3D61">
            <w:pPr>
              <w:pStyle w:val="Heading1"/>
              <w:keepNext w:val="0"/>
              <w:outlineLvl w:val="0"/>
              <w:rPr>
                <w:rFonts w:ascii="Times New Roman" w:hAnsi="Times New Roman"/>
                <w:b w:val="0"/>
                <w:bCs/>
                <w:i/>
                <w:iCs/>
                <w:sz w:val="26"/>
                <w:szCs w:val="30"/>
              </w:rPr>
            </w:pPr>
            <w:r w:rsidRPr="008E3D61">
              <w:rPr>
                <w:rFonts w:ascii="Times New Roman" w:hAnsi="Times New Roman"/>
                <w:b w:val="0"/>
                <w:i/>
                <w:sz w:val="26"/>
              </w:rPr>
              <w:t>Đà Nẵng, ngày 06 tháng 10 năm 2010</w:t>
            </w:r>
          </w:p>
        </w:tc>
      </w:tr>
    </w:tbl>
    <w:p w:rsidR="00E46BFD" w:rsidRPr="008E3D61" w:rsidRDefault="008E3D61" w:rsidP="008E3D61">
      <w:pPr>
        <w:jc w:val="center"/>
        <w:rPr>
          <w:b/>
          <w:sz w:val="28"/>
          <w:szCs w:val="26"/>
        </w:rPr>
      </w:pPr>
      <w:r>
        <w:rPr>
          <w:b/>
          <w:sz w:val="28"/>
          <w:szCs w:val="26"/>
        </w:rPr>
        <w:t>QUYẾT ĐỊNH</w:t>
      </w:r>
    </w:p>
    <w:p w:rsidR="00E46BFD" w:rsidRPr="008E3D61" w:rsidRDefault="00E46BFD" w:rsidP="008E3D61">
      <w:pPr>
        <w:jc w:val="center"/>
        <w:rPr>
          <w:b/>
          <w:sz w:val="28"/>
          <w:szCs w:val="26"/>
        </w:rPr>
      </w:pPr>
      <w:r w:rsidRPr="008E3D61">
        <w:rPr>
          <w:b/>
          <w:sz w:val="28"/>
          <w:szCs w:val="26"/>
        </w:rPr>
        <w:t>Ban hành định mức chi tiêu trong việc đón tiếp khách nước ngoài,</w:t>
      </w:r>
    </w:p>
    <w:p w:rsidR="00E46BFD" w:rsidRPr="008E3D61" w:rsidRDefault="00E46BFD" w:rsidP="008E3D61">
      <w:pPr>
        <w:jc w:val="center"/>
        <w:rPr>
          <w:b/>
          <w:sz w:val="28"/>
          <w:szCs w:val="26"/>
        </w:rPr>
      </w:pPr>
      <w:proofErr w:type="gramStart"/>
      <w:r w:rsidRPr="008E3D61">
        <w:rPr>
          <w:b/>
          <w:sz w:val="28"/>
          <w:szCs w:val="26"/>
        </w:rPr>
        <w:t>tổ</w:t>
      </w:r>
      <w:proofErr w:type="gramEnd"/>
      <w:r w:rsidRPr="008E3D61">
        <w:rPr>
          <w:b/>
          <w:sz w:val="28"/>
          <w:szCs w:val="26"/>
        </w:rPr>
        <w:t xml:space="preserve"> chức các hội nghị, hội thảo quốc tế và tiếp khách trong nước</w:t>
      </w:r>
    </w:p>
    <w:p w:rsidR="00E46BFD" w:rsidRPr="008E3D61" w:rsidRDefault="00E46BFD" w:rsidP="008E3D61">
      <w:pPr>
        <w:jc w:val="center"/>
        <w:rPr>
          <w:b/>
          <w:sz w:val="28"/>
          <w:szCs w:val="26"/>
        </w:rPr>
      </w:pPr>
      <w:r w:rsidRPr="008E3D61">
        <w:rPr>
          <w:b/>
          <w:sz w:val="28"/>
          <w:szCs w:val="26"/>
        </w:rPr>
        <w:t xml:space="preserve"> </w:t>
      </w:r>
      <w:proofErr w:type="gramStart"/>
      <w:r w:rsidRPr="008E3D61">
        <w:rPr>
          <w:b/>
          <w:sz w:val="28"/>
          <w:szCs w:val="26"/>
        </w:rPr>
        <w:t>trên</w:t>
      </w:r>
      <w:proofErr w:type="gramEnd"/>
      <w:r w:rsidRPr="008E3D61">
        <w:rPr>
          <w:b/>
          <w:sz w:val="28"/>
          <w:szCs w:val="26"/>
        </w:rPr>
        <w:t xml:space="preserve"> địa bàn thành phố Đà Nẵng</w:t>
      </w:r>
    </w:p>
    <w:p w:rsidR="00E46BFD" w:rsidRPr="008E3D61" w:rsidRDefault="006F4853" w:rsidP="008E3D61">
      <w:pPr>
        <w:jc w:val="center"/>
        <w:rPr>
          <w:sz w:val="28"/>
          <w:szCs w:val="26"/>
        </w:rPr>
      </w:pPr>
      <w:r>
        <w:rPr>
          <w:noProof/>
          <w:sz w:val="28"/>
          <w:szCs w:val="26"/>
        </w:rPr>
        <w:pict>
          <v:line id="_x0000_s1027" style="position:absolute;left:0;text-align:left;z-index:251661312" from="185.35pt,2.95pt" to="275.35pt,2.95pt"/>
        </w:pict>
      </w:r>
    </w:p>
    <w:p w:rsidR="00E46BFD" w:rsidRPr="008E3D61" w:rsidRDefault="00E46BFD" w:rsidP="008E3D61">
      <w:pPr>
        <w:jc w:val="center"/>
        <w:rPr>
          <w:b/>
          <w:sz w:val="28"/>
          <w:szCs w:val="26"/>
        </w:rPr>
      </w:pPr>
      <w:r w:rsidRPr="008E3D61">
        <w:rPr>
          <w:b/>
          <w:sz w:val="28"/>
          <w:szCs w:val="26"/>
        </w:rPr>
        <w:t>ỦY BAN NHÂN DÂN THÀNH PHỐ ĐÀ NẴNG</w:t>
      </w:r>
    </w:p>
    <w:p w:rsidR="00E46BFD" w:rsidRPr="008E3D61" w:rsidRDefault="00E46BFD" w:rsidP="008E3D61">
      <w:pPr>
        <w:spacing w:before="120" w:after="120" w:line="320" w:lineRule="exact"/>
        <w:ind w:firstLine="567"/>
        <w:jc w:val="both"/>
        <w:rPr>
          <w:i/>
          <w:sz w:val="28"/>
          <w:szCs w:val="26"/>
        </w:rPr>
      </w:pPr>
      <w:r w:rsidRPr="008E3D61">
        <w:rPr>
          <w:i/>
          <w:sz w:val="28"/>
          <w:szCs w:val="26"/>
        </w:rPr>
        <w:t>Căn cứ Luật Tổ chức Hội đồng nhân dân và Ủy ban nhân dân ngày 26 tháng 11 năm 2003;</w:t>
      </w:r>
    </w:p>
    <w:p w:rsidR="00E46BFD" w:rsidRPr="008E3D61" w:rsidRDefault="00E46BFD" w:rsidP="008E3D61">
      <w:pPr>
        <w:spacing w:before="120" w:after="120" w:line="320" w:lineRule="exact"/>
        <w:ind w:firstLine="567"/>
        <w:jc w:val="both"/>
        <w:rPr>
          <w:i/>
          <w:sz w:val="28"/>
          <w:szCs w:val="26"/>
        </w:rPr>
      </w:pPr>
      <w:r w:rsidRPr="008E3D61">
        <w:rPr>
          <w:i/>
          <w:sz w:val="28"/>
          <w:szCs w:val="26"/>
        </w:rPr>
        <w:t>Căn cứ Luật Ngân sách nhà nước ngày 16 tháng 12 năm 2002;</w:t>
      </w:r>
    </w:p>
    <w:p w:rsidR="00E46BFD" w:rsidRPr="008E3D61" w:rsidRDefault="00E46BFD" w:rsidP="008E3D61">
      <w:pPr>
        <w:spacing w:before="120" w:after="120" w:line="320" w:lineRule="exact"/>
        <w:ind w:firstLine="567"/>
        <w:jc w:val="both"/>
        <w:rPr>
          <w:i/>
          <w:sz w:val="28"/>
          <w:szCs w:val="26"/>
        </w:rPr>
      </w:pPr>
      <w:r w:rsidRPr="008E3D61">
        <w:rPr>
          <w:i/>
          <w:sz w:val="28"/>
          <w:szCs w:val="26"/>
        </w:rPr>
        <w:t xml:space="preserve">Căn cứ Thông tư số 01/2010/TT-BTC ngày 06 tháng 01 năm 2010 của Bộ Tài chính về việc quy định chế độ chi tiêu đón tiếp khách nước ngoài vào làm việc tại Việt Nam, chi tiêu tổ chức các hội nghị, hội thảo quốc tế tại Việt Nam và chi tiêu tiếp khách trong nước; </w:t>
      </w:r>
    </w:p>
    <w:p w:rsidR="00E46BFD" w:rsidRPr="008E3D61" w:rsidRDefault="00E46BFD" w:rsidP="008E3D61">
      <w:pPr>
        <w:spacing w:before="120" w:after="120" w:line="320" w:lineRule="exact"/>
        <w:ind w:firstLine="567"/>
        <w:jc w:val="both"/>
        <w:rPr>
          <w:i/>
          <w:sz w:val="28"/>
        </w:rPr>
      </w:pPr>
      <w:r w:rsidRPr="008E3D61">
        <w:rPr>
          <w:i/>
          <w:sz w:val="28"/>
        </w:rPr>
        <w:t>Căn cứ Nghị quyết số 95/2010/NQ-HĐND ngày 14 tháng 7 năm 2010 của Hội đồng nhân dân thành phố Đà Nẵng khoá VII, nhiệm kỳ 2004-2011, kỳ họp thứ 16 về nhiệm vụ 6 tháng cuối năm 2010;</w:t>
      </w:r>
    </w:p>
    <w:p w:rsidR="00E46BFD" w:rsidRPr="008E3D61" w:rsidRDefault="00E46BFD" w:rsidP="008E3D61">
      <w:pPr>
        <w:spacing w:before="120" w:after="120" w:line="320" w:lineRule="exact"/>
        <w:ind w:firstLine="567"/>
        <w:jc w:val="both"/>
        <w:rPr>
          <w:i/>
          <w:sz w:val="28"/>
        </w:rPr>
      </w:pPr>
      <w:r w:rsidRPr="008E3D61">
        <w:rPr>
          <w:i/>
          <w:sz w:val="28"/>
        </w:rPr>
        <w:t>Theo đề nghị của Giám đốc Sở Tài chính thành phố Đà Nẵng,</w:t>
      </w:r>
    </w:p>
    <w:p w:rsidR="00E46BFD" w:rsidRPr="008E3D61" w:rsidRDefault="00E46BFD" w:rsidP="008E3D61">
      <w:pPr>
        <w:jc w:val="center"/>
        <w:rPr>
          <w:b/>
          <w:sz w:val="28"/>
          <w:szCs w:val="26"/>
        </w:rPr>
      </w:pPr>
      <w:r w:rsidRPr="008E3D61">
        <w:rPr>
          <w:b/>
          <w:sz w:val="28"/>
          <w:szCs w:val="26"/>
        </w:rPr>
        <w:t>QUYẾT ĐỊNH:</w:t>
      </w:r>
    </w:p>
    <w:p w:rsidR="00E46BFD" w:rsidRPr="008E3D61" w:rsidRDefault="00E46BFD" w:rsidP="008E3D61">
      <w:pPr>
        <w:spacing w:before="120" w:after="120" w:line="320" w:lineRule="exact"/>
        <w:ind w:firstLine="567"/>
        <w:jc w:val="both"/>
        <w:rPr>
          <w:sz w:val="28"/>
          <w:szCs w:val="26"/>
        </w:rPr>
      </w:pPr>
      <w:proofErr w:type="gramStart"/>
      <w:r w:rsidRPr="008E3D61">
        <w:rPr>
          <w:b/>
          <w:sz w:val="28"/>
          <w:szCs w:val="26"/>
        </w:rPr>
        <w:t>Điều 1.</w:t>
      </w:r>
      <w:proofErr w:type="gramEnd"/>
      <w:r w:rsidRPr="008E3D61">
        <w:rPr>
          <w:sz w:val="28"/>
          <w:szCs w:val="26"/>
        </w:rPr>
        <w:t xml:space="preserve"> Ban hành định mức chi tiêu trong việc đón tiếp khách nước ngoài, tổ chức các hội nghị, hội thảo quốc tế và chi tiếp khách trong nước trên địa bàn thành phố Đà Nẵng (</w:t>
      </w:r>
      <w:proofErr w:type="gramStart"/>
      <w:r w:rsidRPr="008E3D61">
        <w:rPr>
          <w:sz w:val="28"/>
          <w:szCs w:val="26"/>
        </w:rPr>
        <w:t>theo</w:t>
      </w:r>
      <w:proofErr w:type="gramEnd"/>
      <w:r w:rsidRPr="008E3D61">
        <w:rPr>
          <w:sz w:val="28"/>
          <w:szCs w:val="26"/>
        </w:rPr>
        <w:t xml:space="preserve"> Phụ lục kèm theo Quyết định).</w:t>
      </w:r>
    </w:p>
    <w:p w:rsidR="00E46BFD" w:rsidRPr="008E3D61" w:rsidRDefault="00E46BFD" w:rsidP="008E3D61">
      <w:pPr>
        <w:spacing w:before="120" w:after="120" w:line="320" w:lineRule="exact"/>
        <w:ind w:firstLine="567"/>
        <w:jc w:val="both"/>
        <w:rPr>
          <w:sz w:val="28"/>
          <w:szCs w:val="26"/>
        </w:rPr>
      </w:pPr>
      <w:proofErr w:type="gramStart"/>
      <w:r w:rsidRPr="008E3D61">
        <w:rPr>
          <w:b/>
          <w:sz w:val="28"/>
          <w:szCs w:val="26"/>
        </w:rPr>
        <w:t>Điều 2.</w:t>
      </w:r>
      <w:proofErr w:type="gramEnd"/>
      <w:r w:rsidRPr="008E3D61">
        <w:rPr>
          <w:sz w:val="28"/>
          <w:szCs w:val="26"/>
        </w:rPr>
        <w:t xml:space="preserve"> </w:t>
      </w:r>
      <w:r w:rsidRPr="008E3D61">
        <w:rPr>
          <w:b/>
          <w:sz w:val="28"/>
          <w:szCs w:val="26"/>
        </w:rPr>
        <w:t>Đối tượng áp dụng</w:t>
      </w:r>
    </w:p>
    <w:p w:rsidR="008E3D61" w:rsidRDefault="00E46BFD" w:rsidP="008E3D61">
      <w:pPr>
        <w:spacing w:before="120" w:after="120" w:line="320" w:lineRule="exact"/>
        <w:ind w:firstLine="567"/>
        <w:jc w:val="both"/>
        <w:rPr>
          <w:sz w:val="28"/>
          <w:szCs w:val="26"/>
        </w:rPr>
      </w:pPr>
      <w:r w:rsidRPr="008E3D61">
        <w:rPr>
          <w:sz w:val="28"/>
          <w:szCs w:val="26"/>
        </w:rPr>
        <w:t>Các c</w:t>
      </w:r>
      <w:r w:rsidRPr="008E3D61">
        <w:rPr>
          <w:rFonts w:hint="eastAsia"/>
          <w:sz w:val="28"/>
          <w:szCs w:val="26"/>
        </w:rPr>
        <w:t>ơ</w:t>
      </w:r>
      <w:r w:rsidRPr="008E3D61">
        <w:rPr>
          <w:sz w:val="28"/>
          <w:szCs w:val="26"/>
        </w:rPr>
        <w:t xml:space="preserve"> quan nhà n</w:t>
      </w:r>
      <w:r w:rsidRPr="008E3D61">
        <w:rPr>
          <w:rFonts w:hint="eastAsia"/>
          <w:sz w:val="28"/>
          <w:szCs w:val="26"/>
        </w:rPr>
        <w:t>ư</w:t>
      </w:r>
      <w:r w:rsidRPr="008E3D61">
        <w:rPr>
          <w:sz w:val="28"/>
          <w:szCs w:val="26"/>
        </w:rPr>
        <w:t>ớc, đ</w:t>
      </w:r>
      <w:r w:rsidRPr="008E3D61">
        <w:rPr>
          <w:rFonts w:hint="eastAsia"/>
          <w:sz w:val="28"/>
          <w:szCs w:val="26"/>
        </w:rPr>
        <w:t>ơ</w:t>
      </w:r>
      <w:r w:rsidRPr="008E3D61">
        <w:rPr>
          <w:sz w:val="28"/>
          <w:szCs w:val="26"/>
        </w:rPr>
        <w:t>n vị sự nghiệp công lập, các tổ chức chính trị - xã hội và các tổ chức chính trị xã hội - nghề nghiệp, tổ chức xã hội, tổ chức xã hội - nghề nghiệp có sử dụng kinh phí ngân sách Nhà n</w:t>
      </w:r>
      <w:r w:rsidRPr="008E3D61">
        <w:rPr>
          <w:rFonts w:hint="eastAsia"/>
          <w:sz w:val="28"/>
          <w:szCs w:val="26"/>
        </w:rPr>
        <w:t>ư</w:t>
      </w:r>
      <w:r w:rsidRPr="008E3D61">
        <w:rPr>
          <w:sz w:val="28"/>
          <w:szCs w:val="26"/>
        </w:rPr>
        <w:t>ớc cấp phải thực hiện chế độ chi tiêu tiếp khách n</w:t>
      </w:r>
      <w:r w:rsidRPr="008E3D61">
        <w:rPr>
          <w:rFonts w:hint="eastAsia"/>
          <w:sz w:val="28"/>
          <w:szCs w:val="26"/>
        </w:rPr>
        <w:t>ư</w:t>
      </w:r>
      <w:r w:rsidRPr="008E3D61">
        <w:rPr>
          <w:sz w:val="28"/>
          <w:szCs w:val="26"/>
        </w:rPr>
        <w:t>ớc ngoài, tiếp khách trong n</w:t>
      </w:r>
      <w:r w:rsidRPr="008E3D61">
        <w:rPr>
          <w:rFonts w:hint="eastAsia"/>
          <w:sz w:val="28"/>
          <w:szCs w:val="26"/>
        </w:rPr>
        <w:t>ư</w:t>
      </w:r>
      <w:r w:rsidRPr="008E3D61">
        <w:rPr>
          <w:sz w:val="28"/>
          <w:szCs w:val="26"/>
        </w:rPr>
        <w:t>ớc đến công tác tại c</w:t>
      </w:r>
      <w:r w:rsidRPr="008E3D61">
        <w:rPr>
          <w:rFonts w:hint="eastAsia"/>
          <w:sz w:val="28"/>
          <w:szCs w:val="26"/>
        </w:rPr>
        <w:t>ơ</w:t>
      </w:r>
      <w:r w:rsidRPr="008E3D61">
        <w:rPr>
          <w:sz w:val="28"/>
          <w:szCs w:val="26"/>
        </w:rPr>
        <w:t xml:space="preserve"> quan, đ</w:t>
      </w:r>
      <w:r w:rsidRPr="008E3D61">
        <w:rPr>
          <w:rFonts w:hint="eastAsia"/>
          <w:sz w:val="28"/>
          <w:szCs w:val="26"/>
        </w:rPr>
        <w:t>ơ</w:t>
      </w:r>
      <w:r w:rsidRPr="008E3D61">
        <w:rPr>
          <w:sz w:val="28"/>
          <w:szCs w:val="26"/>
        </w:rPr>
        <w:t>n vị; tổ chức các hội nghị, hội thảo quốc tế theo quy định tại Quyết định này.</w:t>
      </w:r>
    </w:p>
    <w:p w:rsidR="008E3D61" w:rsidRDefault="00E46BFD" w:rsidP="008E3D61">
      <w:pPr>
        <w:spacing w:before="120" w:after="120" w:line="320" w:lineRule="exact"/>
        <w:ind w:firstLine="567"/>
        <w:jc w:val="both"/>
        <w:rPr>
          <w:b/>
          <w:sz w:val="28"/>
          <w:szCs w:val="26"/>
        </w:rPr>
      </w:pPr>
      <w:proofErr w:type="gramStart"/>
      <w:r w:rsidRPr="008E3D61">
        <w:rPr>
          <w:b/>
          <w:sz w:val="28"/>
          <w:szCs w:val="26"/>
        </w:rPr>
        <w:t>Điều 3.</w:t>
      </w:r>
      <w:proofErr w:type="gramEnd"/>
      <w:r w:rsidRPr="008E3D61">
        <w:rPr>
          <w:sz w:val="28"/>
          <w:szCs w:val="26"/>
        </w:rPr>
        <w:t xml:space="preserve"> </w:t>
      </w:r>
      <w:r w:rsidRPr="008E3D61">
        <w:rPr>
          <w:b/>
          <w:sz w:val="28"/>
          <w:szCs w:val="26"/>
        </w:rPr>
        <w:t>Nguyên tắc áp dụng định mức chi tiêu</w:t>
      </w:r>
    </w:p>
    <w:p w:rsidR="008E3D61" w:rsidRDefault="00E46BFD" w:rsidP="008E3D61">
      <w:pPr>
        <w:spacing w:before="120" w:after="120" w:line="320" w:lineRule="exact"/>
        <w:ind w:firstLine="567"/>
        <w:jc w:val="both"/>
        <w:rPr>
          <w:sz w:val="28"/>
          <w:szCs w:val="26"/>
        </w:rPr>
      </w:pPr>
      <w:r w:rsidRPr="008E3D61">
        <w:rPr>
          <w:sz w:val="28"/>
          <w:szCs w:val="26"/>
        </w:rPr>
        <w:t>1. Việc đón tiếp và làm việc với đoàn khách nước ngoài trên địa bàn thành phố phải căn cứ vào chương trình đón đoàn khách nước ngoài đã được cơ quan có thẩm quyền phê duyệt.</w:t>
      </w:r>
    </w:p>
    <w:p w:rsidR="008E3D61" w:rsidRDefault="00E46BFD" w:rsidP="008E3D61">
      <w:pPr>
        <w:spacing w:before="120" w:after="120" w:line="320" w:lineRule="exact"/>
        <w:ind w:firstLine="567"/>
        <w:jc w:val="both"/>
        <w:rPr>
          <w:sz w:val="28"/>
          <w:szCs w:val="26"/>
        </w:rPr>
      </w:pPr>
      <w:r w:rsidRPr="008E3D61">
        <w:rPr>
          <w:sz w:val="28"/>
          <w:szCs w:val="26"/>
        </w:rPr>
        <w:t xml:space="preserve">2. Định mức chi tiêu nêu tại Phụ lục kèm </w:t>
      </w:r>
      <w:proofErr w:type="gramStart"/>
      <w:r w:rsidRPr="008E3D61">
        <w:rPr>
          <w:sz w:val="28"/>
          <w:szCs w:val="26"/>
        </w:rPr>
        <w:t>theo</w:t>
      </w:r>
      <w:proofErr w:type="gramEnd"/>
      <w:r w:rsidRPr="008E3D61">
        <w:rPr>
          <w:sz w:val="28"/>
          <w:szCs w:val="26"/>
        </w:rPr>
        <w:t xml:space="preserve"> Quyết định này là mức chi tối đa. Trong quá trình thực hiện, cơ quan, đơn vị được giao nhiệm vụ đón tiếp có thể tự quyết định mức chi nhưng không được vượt quá mức chi tối đa được quy định tại Quyết định này.</w:t>
      </w:r>
    </w:p>
    <w:p w:rsidR="008E3D61" w:rsidRDefault="00E46BFD" w:rsidP="008E3D61">
      <w:pPr>
        <w:spacing w:before="120" w:after="120" w:line="320" w:lineRule="exact"/>
        <w:ind w:firstLine="567"/>
        <w:jc w:val="both"/>
        <w:rPr>
          <w:sz w:val="28"/>
          <w:szCs w:val="26"/>
        </w:rPr>
      </w:pPr>
      <w:r w:rsidRPr="008E3D61">
        <w:rPr>
          <w:sz w:val="28"/>
          <w:szCs w:val="26"/>
        </w:rPr>
        <w:lastRenderedPageBreak/>
        <w:t>3. Đối với những mức chi phát sinh trong quá trình đón tiếp khách nước ngoài, tổ chức các hội nghị, hội thảo quốc tế và tiếp khách trong nước không có quy định tại Quyết định này và những nội dung khác về lập dự toán, quản lý, phân bổ và quyết toán kinh phí thì thực hiện theo Thông t</w:t>
      </w:r>
      <w:r w:rsidRPr="008E3D61">
        <w:rPr>
          <w:rFonts w:hint="eastAsia"/>
          <w:sz w:val="28"/>
          <w:szCs w:val="26"/>
        </w:rPr>
        <w:t>ư</w:t>
      </w:r>
      <w:r w:rsidRPr="008E3D61">
        <w:rPr>
          <w:sz w:val="28"/>
          <w:szCs w:val="26"/>
        </w:rPr>
        <w:t xml:space="preserve"> số 01/2010/TT-BTC ngày 06 tháng 01 năm 2010 của Bộ Tài chính Quy định chế độ chi tiêu đón tiếp khách nước ngoài vào làm việc tại Việt Nam, chi tiêu tổ chức các hội nghị, hội thảo quốc tế và chi tiêu tiếp khách trong nước. </w:t>
      </w:r>
    </w:p>
    <w:p w:rsidR="008E3D61" w:rsidRDefault="00E46BFD" w:rsidP="008E3D61">
      <w:pPr>
        <w:spacing w:before="120" w:after="120" w:line="320" w:lineRule="exact"/>
        <w:ind w:firstLine="567"/>
        <w:jc w:val="both"/>
        <w:rPr>
          <w:sz w:val="28"/>
          <w:szCs w:val="26"/>
        </w:rPr>
      </w:pPr>
      <w:proofErr w:type="gramStart"/>
      <w:r w:rsidRPr="008E3D61">
        <w:rPr>
          <w:b/>
          <w:sz w:val="28"/>
          <w:szCs w:val="26"/>
        </w:rPr>
        <w:t>Điều 4.</w:t>
      </w:r>
      <w:proofErr w:type="gramEnd"/>
      <w:r w:rsidRPr="008E3D61">
        <w:rPr>
          <w:sz w:val="28"/>
          <w:szCs w:val="26"/>
        </w:rPr>
        <w:t xml:space="preserve"> Giám đốc Sở Tài chính có trách nhiệm chủ trì, phối hợp với các Sở, Ban, ngành liên quan tổ chức triển khai, hướng dẫn, kiểm tra việc thực hiện Quy định nêu tại Điều 1.</w:t>
      </w:r>
    </w:p>
    <w:p w:rsidR="008E3D61" w:rsidRDefault="00E46BFD" w:rsidP="008E3D61">
      <w:pPr>
        <w:spacing w:before="120" w:after="120" w:line="320" w:lineRule="exact"/>
        <w:ind w:firstLine="567"/>
        <w:jc w:val="both"/>
        <w:rPr>
          <w:b/>
          <w:sz w:val="28"/>
          <w:szCs w:val="26"/>
        </w:rPr>
      </w:pPr>
      <w:proofErr w:type="gramStart"/>
      <w:r w:rsidRPr="008E3D61">
        <w:rPr>
          <w:b/>
          <w:sz w:val="28"/>
          <w:szCs w:val="26"/>
        </w:rPr>
        <w:t>Điều 5.</w:t>
      </w:r>
      <w:proofErr w:type="gramEnd"/>
      <w:r w:rsidRPr="008E3D61">
        <w:rPr>
          <w:sz w:val="28"/>
          <w:szCs w:val="26"/>
        </w:rPr>
        <w:t xml:space="preserve"> Quyết định này có hiệu lực thi hành sau 10 ngày kể từ ngày ký và thay thế Quyết định số 51/2008/QĐ-UBND ngày 21 tháng 11 năm 2008 của UBND thành phố về Ban hành Quy định mức chi tiêu đón tiếp khách nước ngoài, chi tiêu tổ chức các hội nghị, hội thảo quốc tế và chi tiêu tiếp khách trong nước trên địa bàn thành phố Đà Nẵng.</w:t>
      </w:r>
    </w:p>
    <w:p w:rsidR="008E3D61" w:rsidRPr="008E3D61" w:rsidRDefault="00E46BFD" w:rsidP="008E3D61">
      <w:pPr>
        <w:spacing w:before="120" w:after="120" w:line="320" w:lineRule="exact"/>
        <w:ind w:firstLine="567"/>
        <w:jc w:val="both"/>
        <w:rPr>
          <w:sz w:val="28"/>
          <w:szCs w:val="26"/>
        </w:rPr>
      </w:pPr>
      <w:proofErr w:type="gramStart"/>
      <w:r w:rsidRPr="008E3D61">
        <w:rPr>
          <w:b/>
          <w:sz w:val="28"/>
          <w:szCs w:val="26"/>
        </w:rPr>
        <w:t>Điều 6.</w:t>
      </w:r>
      <w:proofErr w:type="gramEnd"/>
      <w:r w:rsidRPr="008E3D61">
        <w:rPr>
          <w:sz w:val="28"/>
          <w:szCs w:val="26"/>
        </w:rPr>
        <w:t xml:space="preserve"> Chánh Văn phòng Ủy ban nhân dân thành phố; Giám đốc Sở Tài chính; Giám đốc Kho bạc Nhà nước Đà Nẵng; Thủ tr</w:t>
      </w:r>
      <w:r w:rsidRPr="008E3D61">
        <w:rPr>
          <w:rFonts w:hint="eastAsia"/>
          <w:sz w:val="28"/>
          <w:szCs w:val="26"/>
        </w:rPr>
        <w:t>ư</w:t>
      </w:r>
      <w:r w:rsidRPr="008E3D61">
        <w:rPr>
          <w:sz w:val="28"/>
          <w:szCs w:val="26"/>
        </w:rPr>
        <w:t>ởng các c</w:t>
      </w:r>
      <w:r w:rsidRPr="008E3D61">
        <w:rPr>
          <w:rFonts w:hint="eastAsia"/>
          <w:sz w:val="28"/>
          <w:szCs w:val="26"/>
        </w:rPr>
        <w:t>ơ</w:t>
      </w:r>
      <w:r w:rsidRPr="008E3D61">
        <w:rPr>
          <w:sz w:val="28"/>
          <w:szCs w:val="26"/>
        </w:rPr>
        <w:t xml:space="preserve"> quan chuyên môn thuộc Ủy ban nhân dân thành phố; Chủ tịch Ủy ban nhân dân các quận, huyện, xã, ph</w:t>
      </w:r>
      <w:r w:rsidRPr="008E3D61">
        <w:rPr>
          <w:rFonts w:hint="eastAsia"/>
          <w:sz w:val="28"/>
          <w:szCs w:val="26"/>
        </w:rPr>
        <w:t>ư</w:t>
      </w:r>
      <w:r w:rsidRPr="008E3D61">
        <w:rPr>
          <w:sz w:val="28"/>
          <w:szCs w:val="26"/>
        </w:rPr>
        <w:t>ờng; Thủ trưởng các cơ quan và tổ chức, cá nhân có liên quan chịu trách nhiệm thi hành Quyết định này</w:t>
      </w:r>
      <w:proofErr w:type="gramStart"/>
      <w:r w:rsidRPr="008E3D61">
        <w:rPr>
          <w:sz w:val="28"/>
          <w:szCs w:val="26"/>
        </w:rPr>
        <w:t>./</w:t>
      </w:r>
      <w:proofErr w:type="gramEnd"/>
      <w:r w:rsidRPr="008E3D61">
        <w:rPr>
          <w:sz w:val="28"/>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8E3D61" w:rsidTr="008E3D61">
        <w:tc>
          <w:tcPr>
            <w:tcW w:w="4643" w:type="dxa"/>
          </w:tcPr>
          <w:p w:rsidR="008E3D61" w:rsidRDefault="008E3D61" w:rsidP="00E46BFD">
            <w:pPr>
              <w:jc w:val="both"/>
              <w:rPr>
                <w:sz w:val="28"/>
              </w:rPr>
            </w:pPr>
          </w:p>
        </w:tc>
        <w:tc>
          <w:tcPr>
            <w:tcW w:w="4644" w:type="dxa"/>
          </w:tcPr>
          <w:p w:rsidR="008E3D61" w:rsidRPr="008E3D61" w:rsidRDefault="008E3D61" w:rsidP="008E3D61">
            <w:pPr>
              <w:jc w:val="center"/>
              <w:rPr>
                <w:b/>
                <w:sz w:val="26"/>
                <w:szCs w:val="28"/>
              </w:rPr>
            </w:pPr>
            <w:r w:rsidRPr="008E3D61">
              <w:rPr>
                <w:b/>
                <w:sz w:val="26"/>
                <w:szCs w:val="28"/>
              </w:rPr>
              <w:t>TM. UỶ BAN NHÂN DÂN</w:t>
            </w:r>
          </w:p>
          <w:p w:rsidR="008E3D61" w:rsidRPr="008E3D61" w:rsidRDefault="008E3D61" w:rsidP="008E3D61">
            <w:pPr>
              <w:jc w:val="center"/>
              <w:rPr>
                <w:sz w:val="26"/>
                <w:szCs w:val="28"/>
              </w:rPr>
            </w:pPr>
            <w:r w:rsidRPr="008E3D61">
              <w:rPr>
                <w:b/>
                <w:sz w:val="26"/>
                <w:szCs w:val="28"/>
              </w:rPr>
              <w:t>KT. CHỦ TỊCH</w:t>
            </w:r>
          </w:p>
          <w:p w:rsidR="008E3D61" w:rsidRPr="008E3D61" w:rsidRDefault="008E3D61" w:rsidP="008E3D61">
            <w:pPr>
              <w:jc w:val="center"/>
              <w:rPr>
                <w:b/>
                <w:sz w:val="26"/>
                <w:szCs w:val="28"/>
              </w:rPr>
            </w:pPr>
            <w:r w:rsidRPr="008E3D61">
              <w:rPr>
                <w:b/>
                <w:sz w:val="26"/>
                <w:szCs w:val="28"/>
              </w:rPr>
              <w:t>PHÓ CHỦ TỊCH</w:t>
            </w:r>
          </w:p>
          <w:p w:rsidR="008E3D61" w:rsidRPr="008E3D61" w:rsidRDefault="008E3D61" w:rsidP="008E3D61">
            <w:pPr>
              <w:jc w:val="center"/>
              <w:rPr>
                <w:b/>
                <w:i/>
                <w:color w:val="000000"/>
                <w:sz w:val="26"/>
                <w:szCs w:val="28"/>
              </w:rPr>
            </w:pPr>
            <w:r w:rsidRPr="008E3D61">
              <w:rPr>
                <w:b/>
                <w:i/>
                <w:color w:val="000000"/>
                <w:sz w:val="26"/>
                <w:szCs w:val="28"/>
              </w:rPr>
              <w:t>(Đã ký)</w:t>
            </w:r>
          </w:p>
          <w:p w:rsidR="008E3D61" w:rsidRDefault="008E3D61" w:rsidP="008E3D61">
            <w:pPr>
              <w:jc w:val="center"/>
              <w:rPr>
                <w:b/>
                <w:color w:val="000000"/>
                <w:sz w:val="26"/>
                <w:szCs w:val="28"/>
              </w:rPr>
            </w:pPr>
          </w:p>
          <w:p w:rsidR="008E3D61" w:rsidRPr="008E3D61" w:rsidRDefault="008E3D61" w:rsidP="008E3D61">
            <w:pPr>
              <w:jc w:val="center"/>
              <w:rPr>
                <w:color w:val="000000"/>
                <w:sz w:val="26"/>
              </w:rPr>
            </w:pPr>
            <w:r w:rsidRPr="008E3D61">
              <w:rPr>
                <w:b/>
                <w:color w:val="000000"/>
                <w:sz w:val="26"/>
                <w:szCs w:val="28"/>
              </w:rPr>
              <w:t>Võ Duy Khương</w:t>
            </w:r>
          </w:p>
          <w:p w:rsidR="008E3D61" w:rsidRDefault="008E3D61" w:rsidP="00E46BFD">
            <w:pPr>
              <w:jc w:val="both"/>
              <w:rPr>
                <w:sz w:val="28"/>
              </w:rPr>
            </w:pPr>
          </w:p>
        </w:tc>
      </w:tr>
    </w:tbl>
    <w:p w:rsidR="00A31F62" w:rsidRPr="008E3D61" w:rsidRDefault="00A31F62" w:rsidP="006F4853">
      <w:pPr>
        <w:rPr>
          <w:sz w:val="28"/>
        </w:rPr>
      </w:pPr>
      <w:bookmarkStart w:id="0" w:name="_GoBack"/>
      <w:bookmarkEnd w:id="0"/>
    </w:p>
    <w:sectPr w:rsidR="00A31F62" w:rsidRPr="008E3D61" w:rsidSect="008E3D61">
      <w:pgSz w:w="11906" w:h="16838"/>
      <w:pgMar w:top="1134" w:right="1134" w:bottom="1134" w:left="1701" w:header="567" w:footer="567"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H">
    <w:altName w:val="Courier New"/>
    <w:charset w:val="00"/>
    <w:family w:val="swiss"/>
    <w:pitch w:val="variable"/>
    <w:sig w:usb0="00000007" w:usb1="00000000" w:usb2="00000000" w:usb3="00000000" w:csb0="00000013"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2"/>
  </w:compat>
  <w:rsids>
    <w:rsidRoot w:val="00E46BFD"/>
    <w:rsid w:val="006F4853"/>
    <w:rsid w:val="008E3D61"/>
    <w:rsid w:val="009B43BE"/>
    <w:rsid w:val="00A31F62"/>
    <w:rsid w:val="00C1296A"/>
    <w:rsid w:val="00E46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Straight Arrow Connector 1"/>
        <o:r id="V:Rule2" type="connector" idref="#Straight Arrow Connector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BF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E3D61"/>
    <w:pPr>
      <w:keepNext/>
      <w:jc w:val="center"/>
      <w:outlineLvl w:val="0"/>
    </w:pPr>
    <w:rPr>
      <w:rFonts w:ascii=".VnTimeH" w:hAnsi=".VnTimeH"/>
      <w:b/>
      <w:sz w:val="30"/>
      <w:szCs w:val="20"/>
    </w:rPr>
  </w:style>
  <w:style w:type="paragraph" w:styleId="Heading3">
    <w:name w:val="heading 3"/>
    <w:basedOn w:val="Normal"/>
    <w:next w:val="Normal"/>
    <w:link w:val="Heading3Char"/>
    <w:qFormat/>
    <w:rsid w:val="008E3D61"/>
    <w:pPr>
      <w:keepNext/>
      <w:jc w:val="center"/>
      <w:outlineLvl w:val="2"/>
    </w:pPr>
    <w:rPr>
      <w:b/>
      <w:sz w:val="28"/>
      <w:szCs w:val="26"/>
    </w:rPr>
  </w:style>
  <w:style w:type="paragraph" w:styleId="Heading7">
    <w:name w:val="heading 7"/>
    <w:basedOn w:val="Normal"/>
    <w:next w:val="Normal"/>
    <w:link w:val="Heading7Char"/>
    <w:qFormat/>
    <w:rsid w:val="008E3D61"/>
    <w:pPr>
      <w:keepNext/>
      <w:ind w:right="-108"/>
      <w:jc w:val="right"/>
      <w:outlineLvl w:val="6"/>
    </w:pPr>
    <w:rPr>
      <w:b/>
      <w:sz w:val="26"/>
      <w:szCs w:val="26"/>
    </w:rPr>
  </w:style>
  <w:style w:type="paragraph" w:styleId="Heading8">
    <w:name w:val="heading 8"/>
    <w:basedOn w:val="Normal"/>
    <w:next w:val="Normal"/>
    <w:link w:val="Heading8Char"/>
    <w:qFormat/>
    <w:rsid w:val="008E3D61"/>
    <w:pPr>
      <w:keepNext/>
      <w:tabs>
        <w:tab w:val="left" w:pos="2772"/>
      </w:tabs>
      <w:ind w:right="-108"/>
      <w:jc w:val="center"/>
      <w:outlineLvl w:val="7"/>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E46BFD"/>
    <w:pPr>
      <w:spacing w:after="160" w:line="240" w:lineRule="exact"/>
    </w:pPr>
    <w:rPr>
      <w:rFonts w:ascii="Verdana" w:hAnsi="Verdana"/>
      <w:sz w:val="20"/>
      <w:szCs w:val="20"/>
    </w:rPr>
  </w:style>
  <w:style w:type="character" w:customStyle="1" w:styleId="Heading1Char">
    <w:name w:val="Heading 1 Char"/>
    <w:basedOn w:val="DefaultParagraphFont"/>
    <w:link w:val="Heading1"/>
    <w:rsid w:val="008E3D61"/>
    <w:rPr>
      <w:rFonts w:ascii=".VnTimeH" w:eastAsia="Times New Roman" w:hAnsi=".VnTimeH" w:cs="Times New Roman"/>
      <w:b/>
      <w:sz w:val="30"/>
      <w:szCs w:val="20"/>
    </w:rPr>
  </w:style>
  <w:style w:type="character" w:customStyle="1" w:styleId="Heading3Char">
    <w:name w:val="Heading 3 Char"/>
    <w:basedOn w:val="DefaultParagraphFont"/>
    <w:link w:val="Heading3"/>
    <w:rsid w:val="008E3D61"/>
    <w:rPr>
      <w:rFonts w:ascii="Times New Roman" w:eastAsia="Times New Roman" w:hAnsi="Times New Roman" w:cs="Times New Roman"/>
      <w:b/>
      <w:sz w:val="28"/>
      <w:szCs w:val="26"/>
    </w:rPr>
  </w:style>
  <w:style w:type="character" w:customStyle="1" w:styleId="Heading7Char">
    <w:name w:val="Heading 7 Char"/>
    <w:basedOn w:val="DefaultParagraphFont"/>
    <w:link w:val="Heading7"/>
    <w:rsid w:val="008E3D61"/>
    <w:rPr>
      <w:rFonts w:ascii="Times New Roman" w:eastAsia="Times New Roman" w:hAnsi="Times New Roman" w:cs="Times New Roman"/>
      <w:b/>
      <w:sz w:val="26"/>
      <w:szCs w:val="26"/>
    </w:rPr>
  </w:style>
  <w:style w:type="character" w:customStyle="1" w:styleId="Heading8Char">
    <w:name w:val="Heading 8 Char"/>
    <w:basedOn w:val="DefaultParagraphFont"/>
    <w:link w:val="Heading8"/>
    <w:rsid w:val="008E3D61"/>
    <w:rPr>
      <w:rFonts w:ascii="Times New Roman" w:eastAsia="Times New Roman" w:hAnsi="Times New Roman" w:cs="Times New Roman"/>
      <w:b/>
      <w:sz w:val="28"/>
      <w:szCs w:val="28"/>
    </w:rPr>
  </w:style>
  <w:style w:type="table" w:styleId="TableGrid">
    <w:name w:val="Table Grid"/>
    <w:basedOn w:val="TableNormal"/>
    <w:rsid w:val="008E3D6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CA51D6-2270-4E9C-90AE-00ECD746D0F5}"/>
</file>

<file path=customXml/itemProps2.xml><?xml version="1.0" encoding="utf-8"?>
<ds:datastoreItem xmlns:ds="http://schemas.openxmlformats.org/officeDocument/2006/customXml" ds:itemID="{074B3AC1-8E4F-40C4-A3F9-E2786C102D2D}"/>
</file>

<file path=customXml/itemProps3.xml><?xml version="1.0" encoding="utf-8"?>
<ds:datastoreItem xmlns:ds="http://schemas.openxmlformats.org/officeDocument/2006/customXml" ds:itemID="{FFF5E62C-952A-4B78-93FA-2349F88318EA}"/>
</file>

<file path=docProps/app.xml><?xml version="1.0" encoding="utf-8"?>
<Properties xmlns="http://schemas.openxmlformats.org/officeDocument/2006/extended-properties" xmlns:vt="http://schemas.openxmlformats.org/officeDocument/2006/docPropsVTypes">
  <Template>Normal</Template>
  <TotalTime>2</TotalTime>
  <Pages>2</Pages>
  <Words>528</Words>
  <Characters>3016</Characters>
  <Application>Microsoft Office Word</Application>
  <DocSecurity>0</DocSecurity>
  <Lines>25</Lines>
  <Paragraphs>7</Paragraphs>
  <ScaleCrop>false</ScaleCrop>
  <Company/>
  <LinksUpToDate>false</LinksUpToDate>
  <CharactersWithSpaces>3537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2011-04-27T03:22:00Z</dcterms:created>
  <dcterms:modified xsi:type="dcterms:W3CDTF">2015-03-06T06:46:00Z</dcterms:modified>
</cp:coreProperties>
</file>