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0"/>
        <w:gridCol w:w="56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09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Y BAN NHÂN DÂN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NG HÒA XÃ H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NGH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Ĩ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 VI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 NA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09" w:lineRule="exac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7"/>
                <w:szCs w:val="27"/>
              </w:rPr>
              <w:t>THÀNH PH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7"/>
                <w:szCs w:val="27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7"/>
                <w:szCs w:val="27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7"/>
                <w:szCs w:val="27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7"/>
                <w:szCs w:val="27"/>
              </w:rPr>
              <w:t xml:space="preserve"> CHÍ MINH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4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 phúc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279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291" w:lineRule="exact"/>
              <w:ind w:right="6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01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: 31 /CT-UB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03C8B">
            <w:pPr>
              <w:pStyle w:val="a0"/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TP. H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Chí Minh, ngày 13 tháng 09 năm 1989</w:t>
            </w:r>
          </w:p>
        </w:tc>
      </w:tr>
    </w:tbl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</w:t>
      </w:r>
      <w:r>
        <w:rPr>
          <w:rFonts w:ascii="Times New Roman" w:hAnsi="Times New Roman" w:cs="Times New Roman"/>
          <w:b/>
          <w:bCs/>
          <w:sz w:val="32"/>
          <w:szCs w:val="32"/>
        </w:rPr>
        <w:t>Ỉ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TH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540" w:right="2360" w:hanging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V/v th</w:t>
      </w:r>
      <w:r>
        <w:rPr>
          <w:rFonts w:ascii="Times New Roman" w:hAnsi="Times New Roman" w:cs="Times New Roman"/>
          <w:b/>
          <w:bCs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sz w:val="28"/>
          <w:szCs w:val="28"/>
        </w:rPr>
        <w:t>c hi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 dán tem thu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vào thu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c lá rư</w:t>
      </w:r>
      <w:r>
        <w:rPr>
          <w:rFonts w:ascii="Times New Roman" w:hAnsi="Times New Roman" w:cs="Times New Roman"/>
          <w:b/>
          <w:bCs/>
          <w:sz w:val="28"/>
          <w:szCs w:val="28"/>
        </w:rPr>
        <w:t>ợ</w:t>
      </w:r>
      <w:r>
        <w:rPr>
          <w:rFonts w:ascii="Times New Roman" w:hAnsi="Times New Roman" w:cs="Times New Roman"/>
          <w:b/>
          <w:bCs/>
          <w:sz w:val="28"/>
          <w:szCs w:val="28"/>
        </w:rPr>
        <w:t>u, bia nh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kh</w:t>
      </w:r>
      <w:r>
        <w:rPr>
          <w:rFonts w:ascii="Times New Roman" w:hAnsi="Times New Roman" w:cs="Times New Roman"/>
          <w:b/>
          <w:bCs/>
          <w:sz w:val="28"/>
          <w:szCs w:val="28"/>
        </w:rPr>
        <w:t>ẩ</w:t>
      </w:r>
      <w:r>
        <w:rPr>
          <w:rFonts w:ascii="Times New Roman" w:hAnsi="Times New Roman" w:cs="Times New Roman"/>
          <w:b/>
          <w:bCs/>
          <w:sz w:val="28"/>
          <w:szCs w:val="28"/>
        </w:rPr>
        <w:t>u vào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38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_________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right="4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nghiêm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>nh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kh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u,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kh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u.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 v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hàng s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trong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c, ch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kinh doanh tr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gây 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 giá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,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và quy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138/TC-CTN ngày 3/8/1989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Tài chánh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dán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u, bia.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51" w:lineRule="auto"/>
        <w:ind w:right="4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1/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chánh,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dán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vào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 bia cho các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có liên quan,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cá nhân có kinh doanh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hàng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u, bia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theo đúng các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trong văn bán 1194/TC-CTN ngày 9/8/1989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51" w:lineRule="auto"/>
        <w:ind w:right="4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2/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doanh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doanh (Trung ương –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) có kinh doanh các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hàng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 bia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.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chuyên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này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kê khai hàng hóa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kho (theo m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u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phát hành),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xác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kê khai hàng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kho.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52" w:lineRule="auto"/>
        <w:ind w:right="6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doanh có trách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xác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hàng t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 kho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 chưa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hàng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dán tem và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cách dán tem theo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nh,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hàng chưa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giao danh sách (đơn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hàng hóa) cho cơ quan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(nơi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đóng tr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)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tính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thu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hàng phi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và bán tem.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4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doanh (Trung ương –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)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tem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3/ Ph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Tài chánh các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cùng Ph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các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các đơn v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doanh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kê khai,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theo đúng như các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dung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quy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3.</w:t>
      </w:r>
    </w:p>
    <w:p w:rsidR="00000000" w:rsidRDefault="00F03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132" w:right="980" w:bottom="449" w:left="1800" w:header="720" w:footer="720" w:gutter="0"/>
          <w:cols w:space="720" w:equalWidth="0">
            <w:col w:w="9460"/>
          </w:cols>
          <w:noEndnote/>
        </w:sect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1</w:t>
      </w:r>
    </w:p>
    <w:p w:rsidR="00000000" w:rsidRDefault="00F03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1132" w:right="1160" w:bottom="449" w:left="10940" w:header="720" w:footer="720" w:gutter="0"/>
          <w:cols w:space="720" w:equalWidth="0">
            <w:col w:w="140"/>
          </w:cols>
          <w:noEndnote/>
        </w:sect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right="20" w:firstLine="67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hàng chưa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toàn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hàng đó cho ph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tính thu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và bán tem.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51" w:lineRule="auto"/>
        <w:ind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4/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khu v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buôn bán tư nhân cá th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, ph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ng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cán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kê khai,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chi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ng 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hàng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b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kê khai.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tr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>nh các biên lai,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h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p có biên lai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là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hàng đ</w:t>
      </w:r>
      <w:r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bán tem và 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d</w:t>
      </w:r>
      <w:r>
        <w:rPr>
          <w:rFonts w:ascii="Times New Roman" w:hAnsi="Times New Roman" w:cs="Times New Roman"/>
          <w:sz w:val="28"/>
          <w:szCs w:val="28"/>
        </w:rPr>
        <w:t>ẫ</w:t>
      </w:r>
      <w:r>
        <w:rPr>
          <w:rFonts w:ascii="Times New Roman" w:hAnsi="Times New Roman" w:cs="Times New Roman"/>
          <w:sz w:val="28"/>
          <w:szCs w:val="28"/>
        </w:rPr>
        <w:t>n cách dán,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chưa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hành th</w:t>
      </w:r>
      <w:r>
        <w:rPr>
          <w:rFonts w:ascii="Times New Roman" w:hAnsi="Times New Roman" w:cs="Times New Roman"/>
          <w:sz w:val="28"/>
          <w:szCs w:val="28"/>
        </w:rPr>
        <w:t>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hàng hóa phi m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d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 và bán tem.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5/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đúng nguyên t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 : t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 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u, bia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lưu thông trên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dán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do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–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Tài chánh in và phát hành.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6/ Sau ngày 1 </w:t>
      </w:r>
      <w:r>
        <w:rPr>
          <w:rFonts w:ascii="Times New Roman" w:hAnsi="Times New Roman" w:cs="Times New Roman"/>
          <w:sz w:val="28"/>
          <w:szCs w:val="28"/>
        </w:rPr>
        <w:t>tháng 10 năm 1989,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hàng nói trên lưu thông và bày bán trên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u không dán tem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coi như hàng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ngoài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đ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 ph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: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1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2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2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n,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 3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 3 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n…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gian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7/ Cho phép thành 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các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bao 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 ngành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,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ng, công an kinh t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… đ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xuyên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tra, 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 soát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dán tem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 các 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hàng nêu trên và x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p 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các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vi ph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m 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 phát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Trong công tác qu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 l</w:t>
      </w:r>
      <w:r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thu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hàng ngo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p,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dán tem vào thu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lá, rư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u, bia nh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 kh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u vào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là 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làm 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i, bư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có khó khăn, ph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p liên quan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 c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p, ngành. V</w:t>
      </w:r>
      <w:r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y ban nhân dân </w:t>
      </w:r>
      <w:r>
        <w:rPr>
          <w:rFonts w:ascii="Times New Roman" w:hAnsi="Times New Roman" w:cs="Times New Roman"/>
          <w:sz w:val="28"/>
          <w:szCs w:val="28"/>
        </w:rPr>
        <w:t>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yêu 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các ban, ngành,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ch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các 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n, 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n, các báo, đài tuyên 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i thích,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chu đáo và ch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 ch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>. Giám đ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Tài chánh,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 Chi c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 thu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 xml:space="preserve"> công thương nghi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u tr</w:t>
      </w:r>
      <w:r>
        <w:rPr>
          <w:rFonts w:ascii="Times New Roman" w:hAnsi="Times New Roman" w:cs="Times New Roman"/>
          <w:sz w:val="28"/>
          <w:szCs w:val="28"/>
        </w:rPr>
        <w:t>ách nhi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m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c, tri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n khai và theo d</w:t>
      </w:r>
      <w:r>
        <w:rPr>
          <w:rFonts w:ascii="Times New Roman" w:hAnsi="Times New Roman" w:cs="Times New Roman"/>
          <w:sz w:val="28"/>
          <w:szCs w:val="28"/>
        </w:rPr>
        <w:t>õ</w:t>
      </w:r>
      <w:r>
        <w:rPr>
          <w:rFonts w:ascii="Times New Roman" w:hAnsi="Times New Roman" w:cs="Times New Roman"/>
          <w:sz w:val="28"/>
          <w:szCs w:val="28"/>
        </w:rPr>
        <w:t>i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này.-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TM. 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>Y BAN NHÂN DÂN THÀNH PH</w:t>
      </w:r>
      <w:r>
        <w:rPr>
          <w:rFonts w:ascii="Times New Roman" w:hAnsi="Times New Roman" w:cs="Times New Roman"/>
          <w:b/>
          <w:bCs/>
          <w:sz w:val="24"/>
          <w:szCs w:val="24"/>
        </w:rPr>
        <w:t>Ố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KT.CH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Ị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PHÓ CH</w:t>
      </w:r>
      <w:r>
        <w:rPr>
          <w:rFonts w:ascii="Times New Roman" w:hAnsi="Times New Roman" w:cs="Times New Roman"/>
          <w:b/>
          <w:bCs/>
          <w:sz w:val="24"/>
          <w:szCs w:val="24"/>
        </w:rPr>
        <w:t>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Ị</w:t>
      </w:r>
      <w:r>
        <w:rPr>
          <w:rFonts w:ascii="Times New Roman" w:hAnsi="Times New Roman" w:cs="Times New Roman"/>
          <w:b/>
          <w:bCs/>
          <w:sz w:val="24"/>
          <w:szCs w:val="24"/>
        </w:rPr>
        <w:t>CH/THƯ</w:t>
      </w:r>
      <w:r>
        <w:rPr>
          <w:rFonts w:ascii="Times New Roman" w:hAnsi="Times New Roman" w:cs="Times New Roman"/>
          <w:b/>
          <w:bCs/>
          <w:sz w:val="24"/>
          <w:szCs w:val="24"/>
        </w:rPr>
        <w:t>Ờ</w:t>
      </w:r>
      <w:r>
        <w:rPr>
          <w:rFonts w:ascii="Times New Roman" w:hAnsi="Times New Roman" w:cs="Times New Roman"/>
          <w:b/>
          <w:bCs/>
          <w:sz w:val="24"/>
          <w:szCs w:val="24"/>
        </w:rPr>
        <w:t>NG TR</w:t>
      </w:r>
      <w:r>
        <w:rPr>
          <w:rFonts w:ascii="Times New Roman" w:hAnsi="Times New Roman" w:cs="Times New Roman"/>
          <w:b/>
          <w:bCs/>
          <w:sz w:val="24"/>
          <w:szCs w:val="24"/>
        </w:rPr>
        <w:t>Ự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6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Kh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c Bình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1190" w:right="1020" w:bottom="449" w:left="1800" w:header="720" w:footer="720" w:gutter="0"/>
          <w:cols w:space="720" w:equalWidth="0">
            <w:col w:w="9420"/>
          </w:cols>
          <w:noEndnote/>
        </w:sect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2</w:t>
      </w:r>
    </w:p>
    <w:p w:rsidR="00000000" w:rsidRDefault="00F03C8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2240" w:h="15840"/>
      <w:pgMar w:top="1190" w:right="1160" w:bottom="449" w:left="10940" w:header="720" w:footer="720" w:gutter="0"/>
      <w:cols w:space="720" w:equalWidth="0">
        <w:col w:w="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C8B"/>
    <w:rsid w:val="00F0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B4C66-BC5A-41C0-A7B6-16420B3B45E0}"/>
</file>

<file path=customXml/itemProps2.xml><?xml version="1.0" encoding="utf-8"?>
<ds:datastoreItem xmlns:ds="http://schemas.openxmlformats.org/officeDocument/2006/customXml" ds:itemID="{3CC5E148-14FC-4138-B491-67E0B44CB214}"/>
</file>

<file path=customXml/itemProps3.xml><?xml version="1.0" encoding="utf-8"?>
<ds:datastoreItem xmlns:ds="http://schemas.openxmlformats.org/officeDocument/2006/customXml" ds:itemID="{0ABDA45A-94FF-4CA0-A2E8-72D2E2E9FD1E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588</ap:Words>
  <ap:Characters>3357</ap:Characters>
  <ap:Application>convertonlinefree.com</ap:Application>
  <ap:DocSecurity>4</ap:DocSecurity>
  <ap:Lines>27</ap:Lines>
  <ap:Paragraphs>7</ap:Paragraphs>
  <ap:ScaleCrop>false</ap:ScaleCrop>
  <ap:Company/>
  <ap:LinksUpToDate>false</ap:LinksUpToDate>
  <ap:CharactersWithSpaces>3938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2015-06-29T08:02:00Z</dcterms:created>
  <dcterms:modified xsi:type="dcterms:W3CDTF">2015-06-29T08:02:00Z</dcterms:modified>
</cp:coreProperties>
</file>