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540"/>
        <w:gridCol w:w="1040"/>
        <w:gridCol w:w="1300"/>
        <w:gridCol w:w="308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 BAN NHÂN DÂN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CHÍ MINH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 phúc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3365/QĐ-UB-QLĐT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TP. H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 xml:space="preserve"> Chí Minh, ngày 08 tháng 10 năm 1994</w:t>
            </w: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QUY</w:t>
      </w:r>
      <w:r>
        <w:rPr>
          <w:rFonts w:ascii="Times New Roman" w:hAnsi="Times New Roman" w:cs="Times New Roman"/>
          <w:b/>
          <w:b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  <w:r>
        <w:rPr>
          <w:rFonts w:ascii="Times New Roman" w:hAnsi="Times New Roman" w:cs="Times New Roman"/>
          <w:b/>
          <w:bCs/>
          <w:sz w:val="32"/>
          <w:szCs w:val="32"/>
        </w:rPr>
        <w:t>NH C</w:t>
      </w:r>
      <w:r>
        <w:rPr>
          <w:rFonts w:ascii="Times New Roman" w:hAnsi="Times New Roman" w:cs="Times New Roman"/>
          <w:b/>
          <w:bCs/>
          <w:sz w:val="32"/>
          <w:szCs w:val="32"/>
        </w:rPr>
        <w:t>Ủ</w:t>
      </w:r>
      <w:r>
        <w:rPr>
          <w:rFonts w:ascii="Times New Roman" w:hAnsi="Times New Roman" w:cs="Times New Roman"/>
          <w:b/>
          <w:bCs/>
          <w:sz w:val="32"/>
          <w:szCs w:val="32"/>
        </w:rPr>
        <w:t>A UBND THÀNH PH</w:t>
      </w:r>
      <w:r>
        <w:rPr>
          <w:rFonts w:ascii="Times New Roman" w:hAnsi="Times New Roman" w:cs="Times New Roman"/>
          <w:b/>
          <w:bCs/>
          <w:sz w:val="32"/>
          <w:szCs w:val="32"/>
        </w:rPr>
        <w:t>Ố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520" w:right="280" w:hanging="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V/v ban hành “Quy đ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nh phương pháp xác đ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nh giá tr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nhà thu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c s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</w:rPr>
        <w:t>u nhà nư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c đ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bán cho 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đang thuê t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Chí Minh”.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Y BAN NHÂN DÂN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CHÍ MINH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nhân dân và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y ban nhân dân ngày 21 tháng 6 năm 1994;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61/CP ngày 05/7/1994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c mua bán và kinh doanh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58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Thông tư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05/BXD.TT ngày 09/02/1993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phân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p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51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Thông tư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13/LB-TT ngày 18/8/1994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Liên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- Tài chính - Ban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giá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trong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đang thuê,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Đ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NH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1.- </w:t>
      </w:r>
      <w:r>
        <w:rPr>
          <w:rFonts w:ascii="Times New Roman" w:hAnsi="Times New Roman" w:cs="Times New Roman"/>
          <w:sz w:val="28"/>
          <w:szCs w:val="28"/>
        </w:rPr>
        <w:t>Nay ban hành kèm theo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này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“Quy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phương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bán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đang thuê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Minh”.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2.- </w:t>
      </w: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nhà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các đô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khi giá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20%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lên so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khung giá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giá ch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ban hành kèm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này, Liên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-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giá có 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m trình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cho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3.- </w:t>
      </w:r>
      <w:r>
        <w:rPr>
          <w:rFonts w:ascii="Times New Roman" w:hAnsi="Times New Roman" w:cs="Times New Roman"/>
          <w:sz w:val="28"/>
          <w:szCs w:val="28"/>
        </w:rPr>
        <w:t>Giao Giám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kèm theo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này.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4.- </w:t>
      </w:r>
      <w:r>
        <w:rPr>
          <w:rFonts w:ascii="Times New Roman" w:hAnsi="Times New Roman" w:cs="Times New Roman"/>
          <w:sz w:val="28"/>
          <w:szCs w:val="28"/>
        </w:rPr>
        <w:t>Chánh Văn ph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các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Ban Ngành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các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thi hành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này.-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T/M 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Y BAN NHÂN DÂN THÀNH PH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K/T Ch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ch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Phó Ch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ch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Võ Vi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Thanh</w:t>
      </w:r>
    </w:p>
    <w:p w:rsidR="00000000" w:rsidRDefault="00B62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130" w:right="1040" w:bottom="1096" w:left="1700" w:header="720" w:footer="720" w:gutter="0"/>
          <w:cols w:space="720" w:equalWidth="0">
            <w:col w:w="9160"/>
          </w:cols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540"/>
        <w:gridCol w:w="1040"/>
        <w:gridCol w:w="1300"/>
        <w:gridCol w:w="308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 BAN NHÂN DÂN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CHÍ MINH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 phúc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TP. H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 xml:space="preserve"> Chí Minh, ngày 08 tháng 10 năm 1994</w:t>
            </w: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QUY Đ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  <w:r>
        <w:rPr>
          <w:rFonts w:ascii="Times New Roman" w:hAnsi="Times New Roman" w:cs="Times New Roman"/>
          <w:b/>
          <w:bCs/>
          <w:sz w:val="32"/>
          <w:szCs w:val="32"/>
        </w:rPr>
        <w:t>NH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1" w:lineRule="auto"/>
        <w:ind w:left="2260" w:right="1800" w:hanging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Phương pháp xác đ</w:t>
      </w:r>
      <w:r>
        <w:rPr>
          <w:rFonts w:ascii="Times New Roman" w:hAnsi="Times New Roman" w:cs="Times New Roman"/>
          <w:b/>
          <w:bCs/>
          <w:sz w:val="27"/>
          <w:szCs w:val="27"/>
        </w:rPr>
        <w:t>ị</w:t>
      </w:r>
      <w:r>
        <w:rPr>
          <w:rFonts w:ascii="Times New Roman" w:hAnsi="Times New Roman" w:cs="Times New Roman"/>
          <w:b/>
          <w:bCs/>
          <w:sz w:val="27"/>
          <w:szCs w:val="27"/>
        </w:rPr>
        <w:t>nh giá tr</w:t>
      </w:r>
      <w:r>
        <w:rPr>
          <w:rFonts w:ascii="Times New Roman" w:hAnsi="Times New Roman" w:cs="Times New Roman"/>
          <w:b/>
          <w:bCs/>
          <w:sz w:val="27"/>
          <w:szCs w:val="27"/>
        </w:rPr>
        <w:t>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nhà thu</w:t>
      </w:r>
      <w:r>
        <w:rPr>
          <w:rFonts w:ascii="Times New Roman" w:hAnsi="Times New Roman" w:cs="Times New Roman"/>
          <w:b/>
          <w:bCs/>
          <w:sz w:val="27"/>
          <w:szCs w:val="27"/>
        </w:rPr>
        <w:t>ộ</w:t>
      </w:r>
      <w:r>
        <w:rPr>
          <w:rFonts w:ascii="Times New Roman" w:hAnsi="Times New Roman" w:cs="Times New Roman"/>
          <w:b/>
          <w:bCs/>
          <w:sz w:val="27"/>
          <w:szCs w:val="27"/>
        </w:rPr>
        <w:t>c s</w:t>
      </w:r>
      <w:r>
        <w:rPr>
          <w:rFonts w:ascii="Times New Roman" w:hAnsi="Times New Roman" w:cs="Times New Roman"/>
          <w:b/>
          <w:bCs/>
          <w:sz w:val="27"/>
          <w:szCs w:val="27"/>
        </w:rPr>
        <w:t>ở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h</w:t>
      </w:r>
      <w:r>
        <w:rPr>
          <w:rFonts w:ascii="Times New Roman" w:hAnsi="Times New Roman" w:cs="Times New Roman"/>
          <w:b/>
          <w:bCs/>
          <w:sz w:val="27"/>
          <w:szCs w:val="27"/>
        </w:rPr>
        <w:t>ữ</w:t>
      </w:r>
      <w:r>
        <w:rPr>
          <w:rFonts w:ascii="Times New Roman" w:hAnsi="Times New Roman" w:cs="Times New Roman"/>
          <w:b/>
          <w:bCs/>
          <w:sz w:val="27"/>
          <w:szCs w:val="27"/>
        </w:rPr>
        <w:t>u Nhà nư</w:t>
      </w:r>
      <w:r>
        <w:rPr>
          <w:rFonts w:ascii="Times New Roman" w:hAnsi="Times New Roman" w:cs="Times New Roman"/>
          <w:b/>
          <w:bCs/>
          <w:sz w:val="27"/>
          <w:szCs w:val="27"/>
        </w:rPr>
        <w:t>ớ</w:t>
      </w:r>
      <w:r>
        <w:rPr>
          <w:rFonts w:ascii="Times New Roman" w:hAnsi="Times New Roman" w:cs="Times New Roman"/>
          <w:b/>
          <w:bCs/>
          <w:sz w:val="27"/>
          <w:szCs w:val="27"/>
        </w:rPr>
        <w:t>c đ</w:t>
      </w:r>
      <w:r>
        <w:rPr>
          <w:rFonts w:ascii="Times New Roman" w:hAnsi="Times New Roman" w:cs="Times New Roman"/>
          <w:b/>
          <w:bCs/>
          <w:sz w:val="27"/>
          <w:szCs w:val="27"/>
        </w:rPr>
        <w:t>ể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bán cho ngư</w:t>
      </w:r>
      <w:r>
        <w:rPr>
          <w:rFonts w:ascii="Times New Roman" w:hAnsi="Times New Roman" w:cs="Times New Roman"/>
          <w:b/>
          <w:bCs/>
          <w:sz w:val="27"/>
          <w:szCs w:val="27"/>
        </w:rPr>
        <w:t>ờ</w:t>
      </w:r>
      <w:r>
        <w:rPr>
          <w:rFonts w:ascii="Times New Roman" w:hAnsi="Times New Roman" w:cs="Times New Roman"/>
          <w:b/>
          <w:bCs/>
          <w:sz w:val="27"/>
          <w:szCs w:val="27"/>
        </w:rPr>
        <w:t>i đang thuê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Chí Minh.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940" w:right="1020" w:firstLine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(Ban hành kèm theo Quy</w:t>
      </w:r>
      <w:r>
        <w:rPr>
          <w:rFonts w:ascii="Times New Roman" w:hAnsi="Times New Roman" w:cs="Times New Roman"/>
          <w:i/>
          <w:iCs/>
          <w:sz w:val="27"/>
          <w:szCs w:val="27"/>
        </w:rPr>
        <w:t>ế</w:t>
      </w:r>
      <w:r>
        <w:rPr>
          <w:rFonts w:ascii="Times New Roman" w:hAnsi="Times New Roman" w:cs="Times New Roman"/>
          <w:i/>
          <w:iCs/>
          <w:sz w:val="27"/>
          <w:szCs w:val="27"/>
        </w:rPr>
        <w:t>t đ</w:t>
      </w:r>
      <w:r>
        <w:rPr>
          <w:rFonts w:ascii="Times New Roman" w:hAnsi="Times New Roman" w:cs="Times New Roman"/>
          <w:i/>
          <w:iCs/>
          <w:sz w:val="27"/>
          <w:szCs w:val="27"/>
        </w:rPr>
        <w:t>ị</w:t>
      </w:r>
      <w:r>
        <w:rPr>
          <w:rFonts w:ascii="Times New Roman" w:hAnsi="Times New Roman" w:cs="Times New Roman"/>
          <w:i/>
          <w:iCs/>
          <w:sz w:val="27"/>
          <w:szCs w:val="27"/>
        </w:rPr>
        <w:t>nh s</w:t>
      </w:r>
      <w:r>
        <w:rPr>
          <w:rFonts w:ascii="Times New Roman" w:hAnsi="Times New Roman" w:cs="Times New Roman"/>
          <w:i/>
          <w:iCs/>
          <w:sz w:val="27"/>
          <w:szCs w:val="27"/>
        </w:rPr>
        <w:t>ố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3365/QĐ-UB-QLĐT ngày 08/10/1994 c</w:t>
      </w:r>
      <w:r>
        <w:rPr>
          <w:rFonts w:ascii="Times New Roman" w:hAnsi="Times New Roman" w:cs="Times New Roman"/>
          <w:i/>
          <w:iCs/>
          <w:sz w:val="27"/>
          <w:szCs w:val="27"/>
        </w:rPr>
        <w:t>ủ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a </w:t>
      </w:r>
      <w:r>
        <w:rPr>
          <w:rFonts w:ascii="Times New Roman" w:hAnsi="Times New Roman" w:cs="Times New Roman"/>
          <w:i/>
          <w:iCs/>
          <w:sz w:val="27"/>
          <w:szCs w:val="27"/>
        </w:rPr>
        <w:t>Ủ</w:t>
      </w:r>
      <w:r>
        <w:rPr>
          <w:rFonts w:ascii="Times New Roman" w:hAnsi="Times New Roman" w:cs="Times New Roman"/>
          <w:i/>
          <w:iCs/>
          <w:sz w:val="27"/>
          <w:szCs w:val="27"/>
        </w:rPr>
        <w:t>y ban nhân dân thành ph</w:t>
      </w:r>
      <w:r>
        <w:rPr>
          <w:rFonts w:ascii="Times New Roman" w:hAnsi="Times New Roman" w:cs="Times New Roman"/>
          <w:i/>
          <w:iCs/>
          <w:sz w:val="27"/>
          <w:szCs w:val="27"/>
        </w:rPr>
        <w:t>ố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H</w:t>
      </w:r>
      <w:r>
        <w:rPr>
          <w:rFonts w:ascii="Times New Roman" w:hAnsi="Times New Roman" w:cs="Times New Roman"/>
          <w:i/>
          <w:iCs/>
          <w:sz w:val="27"/>
          <w:szCs w:val="27"/>
        </w:rPr>
        <w:t>ồ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Chí Minh)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187pt,10.4pt" to="264pt,10.4pt" o:allowincell="f"/>
        </w:pic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61/CP ngày 05/7/1994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mua bán và kinh doanh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bán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đang thuê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 như sau: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I.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VÀ PHÂN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NHÀ: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Phân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nhà và phân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Trên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phân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p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trong Thông tư s</w:t>
      </w:r>
      <w:r>
        <w:rPr>
          <w:rFonts w:ascii="Times New Roman" w:hAnsi="Times New Roman" w:cs="Times New Roman"/>
          <w:sz w:val="28"/>
          <w:szCs w:val="28"/>
        </w:rPr>
        <w:t>ố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05/BXD-ĐT ngày 09/02/1993. Trong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bán nhà 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vào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ban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u,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o, nâng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do cơ quan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lý nhà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nhà và phân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theo thông tư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05/BXD-ĐT thì áp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theo đúng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61/CP ngày 05/7/1994.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ng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đang cho thuê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phân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nhà, phân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phân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nhà, 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trên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và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ngôi nhà và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trong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ng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ngh</w:t>
      </w:r>
      <w:r>
        <w:rPr>
          <w:rFonts w:ascii="Times New Roman" w:hAnsi="Times New Roman" w:cs="Times New Roman"/>
          <w:sz w:val="28"/>
          <w:szCs w:val="28"/>
        </w:rPr>
        <w:t>ĩ</w:t>
      </w:r>
      <w:r>
        <w:rPr>
          <w:rFonts w:ascii="Times New Roman" w:hAnsi="Times New Roman" w:cs="Times New Roman"/>
          <w:sz w:val="28"/>
          <w:szCs w:val="28"/>
        </w:rPr>
        <w:t>a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và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riêng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II.4 và II.5 Thông tư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05/BXD-ĐT).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ng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u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kèm theo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61/CP ngày 05/7/1994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ban hành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xây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ng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.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này là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tính toán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bán nhà (Ph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Trong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nhà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mua bán có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hoàn toàn khác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nhà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trong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mà không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giá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tính toán,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trí cao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bán nhà và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hai bên mua bán, thì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30" w:right="1040" w:bottom="1015" w:left="1700" w:header="720" w:footer="720" w:gutter="0"/>
          <w:cols w:space="720" w:equalWidth="0">
            <w:col w:w="9160"/>
          </w:cols>
          <w:noEndnote/>
        </w:sect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phương pháp tính kh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theo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và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đơn giá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(Ph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II. PHƯƠNG PHÁP XÁC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DI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 xml:space="preserve">N TÍCH NHÀ 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Đ</w:t>
      </w:r>
      <w:r>
        <w:rPr>
          <w:rFonts w:ascii="Times New Roman" w:hAnsi="Times New Roman" w:cs="Times New Roman"/>
          <w:sz w:val="27"/>
          <w:szCs w:val="27"/>
        </w:rPr>
        <w:t>Ể</w:t>
      </w:r>
      <w:r>
        <w:rPr>
          <w:rFonts w:ascii="Times New Roman" w:hAnsi="Times New Roman" w:cs="Times New Roman"/>
          <w:sz w:val="27"/>
          <w:szCs w:val="27"/>
        </w:rPr>
        <w:t xml:space="preserve"> TÍNH GIÁ BÁN: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theo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I - Thông tư 05/BXD-ĐT và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phù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khi bán nhà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sung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sau: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khi bán là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sàn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(theo kích 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tim tư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nhà),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d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chính (phòng khách, phòng ng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...) và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(b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p,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thang, kho,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sinh…), trong đó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tính: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Tính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tích,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 Mái hiên, mái che sân thư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ng, hành lang xung quanh nhà có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vách đ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 xml:space="preserve"> nhưng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kín b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và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Tính hai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ba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 Gác l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ng (có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cao thông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sàn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mái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2,5m).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III.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phương pháp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trong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đang thuê theo Thông tư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13/LB-TT ngày 18/8/1994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Liên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- Tài chính -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giá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. Trên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ánh giá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chuyên môn theo các phương pháp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n,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không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trí,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cách b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phi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thành viên chính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còn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là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trung bìn</w:t>
      </w:r>
      <w:r>
        <w:rPr>
          <w:rFonts w:ascii="Times New Roman" w:hAnsi="Times New Roman" w:cs="Times New Roman"/>
          <w:sz w:val="28"/>
          <w:szCs w:val="28"/>
        </w:rPr>
        <w:t>h c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các m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đánh giá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thành viên.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này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coi là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pháp l</w:t>
      </w:r>
      <w:r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nhà.-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Y BAN NHÂN DÂN THÀNH PH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90" w:right="1120" w:bottom="1440" w:left="1700" w:header="720" w:footer="720" w:gutter="0"/>
          <w:cols w:space="720" w:equalWidth="0">
            <w:col w:w="9080"/>
          </w:cols>
          <w:noEndnote/>
        </w:sect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20" w:right="60" w:hanging="326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 w:cs="Times New Roman"/>
          <w:b/>
          <w:bCs/>
          <w:sz w:val="27"/>
          <w:szCs w:val="27"/>
        </w:rPr>
        <w:t>B</w:t>
      </w:r>
      <w:r>
        <w:rPr>
          <w:rFonts w:ascii="Times New Roman" w:hAnsi="Times New Roman" w:cs="Times New Roman"/>
          <w:b/>
          <w:bCs/>
          <w:sz w:val="27"/>
          <w:szCs w:val="27"/>
        </w:rPr>
        <w:t>Ả</w:t>
      </w:r>
      <w:r>
        <w:rPr>
          <w:rFonts w:ascii="Times New Roman" w:hAnsi="Times New Roman" w:cs="Times New Roman"/>
          <w:b/>
          <w:bCs/>
          <w:sz w:val="27"/>
          <w:szCs w:val="27"/>
        </w:rPr>
        <w:t>NG PHÂN H</w:t>
      </w:r>
      <w:r>
        <w:rPr>
          <w:rFonts w:ascii="Times New Roman" w:hAnsi="Times New Roman" w:cs="Times New Roman"/>
          <w:b/>
          <w:bCs/>
          <w:sz w:val="27"/>
          <w:szCs w:val="27"/>
        </w:rPr>
        <w:t>Ạ</w:t>
      </w:r>
      <w:r>
        <w:rPr>
          <w:rFonts w:ascii="Times New Roman" w:hAnsi="Times New Roman" w:cs="Times New Roman"/>
          <w:b/>
          <w:bCs/>
          <w:sz w:val="27"/>
          <w:szCs w:val="27"/>
        </w:rPr>
        <w:t>NG CHI TI</w:t>
      </w:r>
      <w:r>
        <w:rPr>
          <w:rFonts w:ascii="Times New Roman" w:hAnsi="Times New Roman" w:cs="Times New Roman"/>
          <w:b/>
          <w:bCs/>
          <w:sz w:val="27"/>
          <w:szCs w:val="27"/>
        </w:rPr>
        <w:t>Ế</w:t>
      </w:r>
      <w:r>
        <w:rPr>
          <w:rFonts w:ascii="Times New Roman" w:hAnsi="Times New Roman" w:cs="Times New Roman"/>
          <w:b/>
          <w:bCs/>
          <w:sz w:val="27"/>
          <w:szCs w:val="27"/>
        </w:rPr>
        <w:t>T VÀ GIÁ CHU</w:t>
      </w:r>
      <w:r>
        <w:rPr>
          <w:rFonts w:ascii="Times New Roman" w:hAnsi="Times New Roman" w:cs="Times New Roman"/>
          <w:b/>
          <w:bCs/>
          <w:sz w:val="27"/>
          <w:szCs w:val="27"/>
        </w:rPr>
        <w:t>Ẩ</w:t>
      </w:r>
      <w:r>
        <w:rPr>
          <w:rFonts w:ascii="Times New Roman" w:hAnsi="Times New Roman" w:cs="Times New Roman"/>
          <w:b/>
          <w:bCs/>
          <w:sz w:val="27"/>
          <w:szCs w:val="27"/>
        </w:rPr>
        <w:t>N Đ</w:t>
      </w:r>
      <w:r>
        <w:rPr>
          <w:rFonts w:ascii="Times New Roman" w:hAnsi="Times New Roman" w:cs="Times New Roman"/>
          <w:b/>
          <w:bCs/>
          <w:sz w:val="27"/>
          <w:szCs w:val="27"/>
        </w:rPr>
        <w:t>Ể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TÍNH TR</w:t>
      </w:r>
      <w:r>
        <w:rPr>
          <w:rFonts w:ascii="Times New Roman" w:hAnsi="Times New Roman" w:cs="Times New Roman"/>
          <w:b/>
          <w:bCs/>
          <w:sz w:val="27"/>
          <w:szCs w:val="27"/>
        </w:rPr>
        <w:t>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GIÁ NHÀ DÙNG CHO CÔNG TÁC BÁN NHÀ THU</w:t>
      </w:r>
      <w:r>
        <w:rPr>
          <w:rFonts w:ascii="Times New Roman" w:hAnsi="Times New Roman" w:cs="Times New Roman"/>
          <w:b/>
          <w:bCs/>
          <w:sz w:val="27"/>
          <w:szCs w:val="27"/>
        </w:rPr>
        <w:t>Ộ</w:t>
      </w:r>
      <w:r>
        <w:rPr>
          <w:rFonts w:ascii="Times New Roman" w:hAnsi="Times New Roman" w:cs="Times New Roman"/>
          <w:b/>
          <w:bCs/>
          <w:sz w:val="27"/>
          <w:szCs w:val="27"/>
        </w:rPr>
        <w:t>C S</w:t>
      </w:r>
      <w:r>
        <w:rPr>
          <w:rFonts w:ascii="Times New Roman" w:hAnsi="Times New Roman" w:cs="Times New Roman"/>
          <w:b/>
          <w:bCs/>
          <w:sz w:val="27"/>
          <w:szCs w:val="27"/>
        </w:rPr>
        <w:t>Ở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H</w:t>
      </w:r>
      <w:r>
        <w:rPr>
          <w:rFonts w:ascii="Times New Roman" w:hAnsi="Times New Roman" w:cs="Times New Roman"/>
          <w:b/>
          <w:bCs/>
          <w:sz w:val="27"/>
          <w:szCs w:val="27"/>
        </w:rPr>
        <w:t>Ữ</w:t>
      </w:r>
      <w:r>
        <w:rPr>
          <w:rFonts w:ascii="Times New Roman" w:hAnsi="Times New Roman" w:cs="Times New Roman"/>
          <w:b/>
          <w:bCs/>
          <w:sz w:val="27"/>
          <w:szCs w:val="27"/>
        </w:rPr>
        <w:t>U NHÀ NƯ</w:t>
      </w:r>
      <w:r>
        <w:rPr>
          <w:rFonts w:ascii="Times New Roman" w:hAnsi="Times New Roman" w:cs="Times New Roman"/>
          <w:b/>
          <w:bCs/>
          <w:sz w:val="27"/>
          <w:szCs w:val="27"/>
        </w:rPr>
        <w:t>Ớ</w:t>
      </w:r>
      <w:r>
        <w:rPr>
          <w:rFonts w:ascii="Times New Roman" w:hAnsi="Times New Roman" w:cs="Times New Roman"/>
          <w:b/>
          <w:bCs/>
          <w:sz w:val="27"/>
          <w:szCs w:val="27"/>
        </w:rPr>
        <w:t>C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2260" w:right="1540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(Ph</w:t>
      </w:r>
      <w:r>
        <w:rPr>
          <w:rFonts w:ascii="Times New Roman" w:hAnsi="Times New Roman" w:cs="Times New Roman"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l</w:t>
      </w:r>
      <w:r>
        <w:rPr>
          <w:rFonts w:ascii="Times New Roman" w:hAnsi="Times New Roman" w:cs="Times New Roman"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i/>
          <w:iCs/>
          <w:sz w:val="28"/>
          <w:szCs w:val="28"/>
        </w:rPr>
        <w:t>c kèm theo Quy</w:t>
      </w:r>
      <w:r>
        <w:rPr>
          <w:rFonts w:ascii="Times New Roman" w:hAnsi="Times New Roman" w:cs="Times New Roman"/>
          <w:i/>
          <w:iCs/>
          <w:sz w:val="28"/>
          <w:szCs w:val="28"/>
        </w:rPr>
        <w:t>ế</w:t>
      </w:r>
      <w:r>
        <w:rPr>
          <w:rFonts w:ascii="Times New Roman" w:hAnsi="Times New Roman" w:cs="Times New Roman"/>
          <w:i/>
          <w:iCs/>
          <w:sz w:val="28"/>
          <w:szCs w:val="28"/>
        </w:rPr>
        <w:t>t đ</w:t>
      </w:r>
      <w:r>
        <w:rPr>
          <w:rFonts w:ascii="Times New Roman" w:hAnsi="Times New Roman" w:cs="Times New Roman"/>
          <w:i/>
          <w:iCs/>
          <w:sz w:val="28"/>
          <w:szCs w:val="28"/>
        </w:rPr>
        <w:t>ị</w:t>
      </w:r>
      <w:r>
        <w:rPr>
          <w:rFonts w:ascii="Times New Roman" w:hAnsi="Times New Roman" w:cs="Times New Roman"/>
          <w:i/>
          <w:iCs/>
          <w:sz w:val="28"/>
          <w:szCs w:val="28"/>
        </w:rPr>
        <w:t>nh s</w:t>
      </w:r>
      <w:r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3365/QĐ-UB-QLĐT ngày 08/10/1994 c</w:t>
      </w:r>
      <w:r>
        <w:rPr>
          <w:rFonts w:ascii="Times New Roman" w:hAnsi="Times New Roman" w:cs="Times New Roman"/>
          <w:i/>
          <w:iCs/>
          <w:sz w:val="28"/>
          <w:szCs w:val="28"/>
        </w:rPr>
        <w:t>ủ</w:t>
      </w:r>
      <w:r>
        <w:rPr>
          <w:rFonts w:ascii="Times New Roman" w:hAnsi="Times New Roman" w:cs="Times New Roman"/>
          <w:i/>
          <w:iCs/>
          <w:sz w:val="28"/>
          <w:szCs w:val="28"/>
        </w:rPr>
        <w:t>a UBND Thành ph</w:t>
      </w:r>
      <w:r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Đơn v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tính:đ/m</w:t>
      </w:r>
      <w:r>
        <w:rPr>
          <w:rFonts w:ascii="Times New Roman" w:hAnsi="Times New Roman" w:cs="Times New Roman"/>
          <w:sz w:val="35"/>
          <w:szCs w:val="35"/>
          <w:vertAlign w:val="superscript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sàn s</w:t>
      </w:r>
      <w:r>
        <w:rPr>
          <w:rFonts w:ascii="Times New Roman" w:hAnsi="Times New Roman" w:cs="Times New Roman"/>
          <w:sz w:val="27"/>
          <w:szCs w:val="27"/>
        </w:rPr>
        <w:t>ử</w:t>
      </w:r>
      <w:r>
        <w:rPr>
          <w:rFonts w:ascii="Times New Roman" w:hAnsi="Times New Roman" w:cs="Times New Roman"/>
          <w:sz w:val="27"/>
          <w:szCs w:val="27"/>
        </w:rPr>
        <w:t xml:space="preserve"> d</w:t>
      </w:r>
      <w:r>
        <w:rPr>
          <w:rFonts w:ascii="Times New Roman" w:hAnsi="Times New Roman" w:cs="Times New Roman"/>
          <w:sz w:val="27"/>
          <w:szCs w:val="27"/>
        </w:rPr>
        <w:t>ụ</w:t>
      </w:r>
      <w:r>
        <w:rPr>
          <w:rFonts w:ascii="Times New Roman" w:hAnsi="Times New Roman" w:cs="Times New Roman"/>
          <w:sz w:val="27"/>
          <w:szCs w:val="27"/>
        </w:rPr>
        <w:t>ng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840"/>
        <w:gridCol w:w="1620"/>
        <w:gridCol w:w="18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PHÂN H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NG CHI TI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NHÀ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KI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 TRÚC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A1. Sàn, mái BTCT,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(h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2.000.000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A2. Sàn BTCT,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mái 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1.600.000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bi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khác thư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Ự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TP: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A3. Sàn xây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trên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mái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1.400.000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 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A4. Sàn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mái 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B1. Mái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BTCT,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(h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1.500.000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bao che dày 200 - 300, mái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 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Ự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nhà vư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riêng bi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bao che dày 100,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thông tư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c, mái 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 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C1. Sàn, mái BTCT,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(c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1.000.000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 Sàn BTCT,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mái 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NHÀ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C3. Sàn xây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trên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mái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Ố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 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sàn đúc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mái đúc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tole, ngói, 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sàn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ván,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tole hay ngói,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mái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BTCT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950.000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mái ngói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550.000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NHÀ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ván ép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trang trí,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bông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đá mài,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Ố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mái tole,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láng xi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400.000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</w:t>
            </w: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măng,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ván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cót ép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D4.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+ ván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tole,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mái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350.000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Theo NĐ 61/CP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láng xi măng,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ván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cót ép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01" w:right="1100" w:bottom="912" w:left="1660" w:header="720" w:footer="720" w:gutter="0"/>
          <w:cols w:space="720" w:equalWidth="0">
            <w:col w:w="9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840"/>
        <w:gridCol w:w="1620"/>
        <w:gridCol w:w="1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mái tole,n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láng xi măng,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ván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cót ép, tư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D6. Vách tole,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mái lá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u, khung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96"/>
        </w:tabs>
        <w:overflowPunct w:val="0"/>
        <w:autoSpaceDE w:val="0"/>
        <w:autoSpaceDN w:val="0"/>
        <w:adjustRightInd w:val="0"/>
        <w:spacing w:after="0" w:line="223" w:lineRule="auto"/>
        <w:ind w:left="4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nhà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A1 - C3 và nhà D1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có n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sàn lát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bông, mosaic, đá mài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đá c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ch, có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 riêng,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trong nhà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24" w:lineRule="auto"/>
        <w:ind w:left="40" w:right="2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trong cùng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ngôi nhà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nhà khác nhau (ví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có sàn BTCT v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a có sàn g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) thì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là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các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u tương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trong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ng giá.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trong khu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tính như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12" w:right="1100" w:bottom="1440" w:left="1660" w:header="720" w:footer="720" w:gutter="0"/>
          <w:cols w:space="720" w:equalWidth="0">
            <w:col w:w="914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ĐƠN GIÁ XÂY D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NG CƠ 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M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2620" w:right="740" w:hanging="15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(Dùng cho công tác bán nhà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TP.HCM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đang thuê theo NĐ 61/CP)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-251657216;mso-position-horizontal-relative:text;mso-position-vertical-relative:text" from="182.85pt,9.05pt" to="281.85pt,9.05pt" o:allowincell="f"/>
        </w:pic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A.00 CÔNG TÁC BÊ TÔNG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460"/>
        <w:gridCol w:w="4740"/>
        <w:gridCol w:w="140"/>
        <w:gridCol w:w="1120"/>
        <w:gridCol w:w="12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U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Bê tông đá 4x6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Bê tông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Bê tông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Bê tông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thép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khác (sàn,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769.500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sê, nô, ô văng v.v…)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Sàn bê tông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Sàn xây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A.07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Sàn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bông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B.00 CÔNG TÁC XÂY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B.01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dày 100mm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B.02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dày 200mm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B.03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dày &gt;300mm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371.500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B.04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Blok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361.200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thông gió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(Đ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Nai,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bê tông,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eternit…)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B.06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đá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B.07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tam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30" w:right="1100" w:bottom="1440" w:left="1700" w:header="720" w:footer="720" w:gutter="0"/>
          <w:cols w:space="720" w:equalWidth="0">
            <w:col w:w="910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sz w:val="28"/>
          <w:szCs w:val="28"/>
        </w:rPr>
        <w:t>C.00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4740"/>
        <w:gridCol w:w="1260"/>
        <w:gridCol w:w="1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đ/kg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C.02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Rào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bông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lan can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C.03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đà,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đ/kg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Kèo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253.100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C.05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thép trong bê tông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đ/kg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D.00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khung),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panô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Vách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ván +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ván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panô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panô +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ván ghép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D.09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ván ép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kính,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khác 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khung)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+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D.12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+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+ kính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D.15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không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D.16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+ 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3.930.000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D.18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Kèo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D.19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Sàn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1120" w:bottom="862" w:left="1700" w:header="720" w:footer="720" w:gutter="0"/>
          <w:cols w:space="720" w:equalWidth="0">
            <w:col w:w="908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Times New Roman" w:hAnsi="Times New Roman" w:cs="Times New Roman"/>
          <w:sz w:val="28"/>
          <w:szCs w:val="28"/>
        </w:rPr>
        <w:t>E.00 CÔNG TÁC MÁI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4680"/>
        <w:gridCol w:w="126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ngói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fibro ciment (sóng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tole tráng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tole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E.06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Mái lá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F.00 CÔNG TÁC TRÁT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F.01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Trát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ciment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F.02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Trát đà,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F.03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F.04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Trát đá mài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F.05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Trát đá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G.00 CÔNG TÁC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- ĐÁ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G.01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ciment 200x200; 200x100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G.02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men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G.03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Lát,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đá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1120" w:bottom="1440" w:left="1700" w:header="720" w:footer="720" w:gutter="0"/>
          <w:cols w:space="720" w:equalWidth="0">
            <w:col w:w="908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Times New Roman" w:hAnsi="Times New Roman" w:cs="Times New Roman"/>
          <w:sz w:val="28"/>
          <w:szCs w:val="28"/>
        </w:rPr>
        <w:t>H.00 CÔNG TÁC LÁNG V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- LÁT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4700"/>
        <w:gridCol w:w="126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ciment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nung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ciment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mosaic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XM khía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vinyl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sàn nhà đá mái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H.08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thang tô đá mài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I.00 CÔNG TÁC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vôi rơm,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ván ép,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ép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tole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acousti,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cao và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I.06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cót ép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J.00 QUÉT VÔI SƠN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Quét vôi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Quay vôi gai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Sơn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Sơn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gai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J.05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vecni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1120" w:bottom="900" w:left="1700" w:header="720" w:footer="720" w:gutter="0"/>
          <w:cols w:space="720" w:equalWidth="0">
            <w:col w:w="908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Times New Roman" w:hAnsi="Times New Roman" w:cs="Times New Roman"/>
          <w:sz w:val="28"/>
          <w:szCs w:val="28"/>
        </w:rPr>
        <w:t>K.00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4720"/>
        <w:gridCol w:w="1260"/>
        <w:gridCol w:w="1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xí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1.134.000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xí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L.00 CÔNG TÁC KHÁC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L.01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Vách ván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L.02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Vách tole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L.03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toocxi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L.04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lambri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L.05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foocmica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4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đ/m</w:t>
            </w:r>
            <w:r>
              <w:rPr>
                <w:rFonts w:ascii="Times New Roman" w:hAnsi="Times New Roman" w:cs="Times New Roman"/>
                <w:w w:val="93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M.00 TRANG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XÂY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ĐƠN GIÁ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đ/cái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M.02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hút gió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đ/cái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hòa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đ/cái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4.600.000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M.04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bơm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đ/cái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62A55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1120" w:bottom="1440" w:left="1700" w:header="720" w:footer="720" w:gutter="0"/>
          <w:cols w:space="720" w:equalWidth="0">
            <w:col w:w="9080"/>
          </w:cols>
          <w:noEndnote/>
        </w:sect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rFonts w:ascii="Times New Roman" w:hAnsi="Times New Roman" w:cs="Times New Roman"/>
          <w:sz w:val="28"/>
          <w:szCs w:val="28"/>
        </w:rPr>
        <w:t>GHI CHÚ: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15" w:lineRule="auto"/>
        <w:ind w:left="-56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trúc ng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móng, 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tính 10% trên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các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trúc bên trên.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phí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tính bình quân 6% trên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nhà.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62A55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tính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 ( xây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i)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đơn giá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p: 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Giá tr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 xml:space="preserve"> ph</w:t>
      </w:r>
      <w:r>
        <w:rPr>
          <w:rFonts w:ascii="Times New Roman" w:hAnsi="Times New Roman" w:cs="Times New Roman"/>
          <w:sz w:val="27"/>
          <w:szCs w:val="27"/>
        </w:rPr>
        <w:t>ầ</w:t>
      </w:r>
      <w:r>
        <w:rPr>
          <w:rFonts w:ascii="Times New Roman" w:hAnsi="Times New Roman" w:cs="Times New Roman"/>
          <w:sz w:val="27"/>
          <w:szCs w:val="27"/>
        </w:rPr>
        <w:t>n ki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 xml:space="preserve">n trúc bên trên (T) = </w:t>
      </w:r>
      <w:r>
        <w:rPr>
          <w:rFonts w:ascii="Symbol" w:hAnsi="Symbol" w:cs="Symbol"/>
          <w:sz w:val="27"/>
          <w:szCs w:val="27"/>
        </w:rPr>
        <w:t></w:t>
      </w:r>
      <w:r>
        <w:rPr>
          <w:rFonts w:ascii="Times New Roman" w:hAnsi="Times New Roman" w:cs="Times New Roman"/>
          <w:sz w:val="27"/>
          <w:szCs w:val="27"/>
        </w:rPr>
        <w:t xml:space="preserve"> (kh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>i lư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ng xây l</w:t>
      </w:r>
      <w:r>
        <w:rPr>
          <w:rFonts w:ascii="Times New Roman" w:hAnsi="Times New Roman" w:cs="Times New Roman"/>
          <w:sz w:val="27"/>
          <w:szCs w:val="27"/>
        </w:rPr>
        <w:t>ắ</w:t>
      </w:r>
      <w:r>
        <w:rPr>
          <w:rFonts w:ascii="Times New Roman" w:hAnsi="Times New Roman" w:cs="Times New Roman"/>
          <w:sz w:val="27"/>
          <w:szCs w:val="27"/>
        </w:rPr>
        <w:t>p x đơn giá t</w:t>
      </w:r>
      <w:r>
        <w:rPr>
          <w:rFonts w:ascii="Times New Roman" w:hAnsi="Times New Roman" w:cs="Times New Roman"/>
          <w:sz w:val="27"/>
          <w:szCs w:val="27"/>
        </w:rPr>
        <w:t>ổ</w:t>
      </w:r>
      <w:r>
        <w:rPr>
          <w:rFonts w:ascii="Times New Roman" w:hAnsi="Times New Roman" w:cs="Times New Roman"/>
          <w:sz w:val="27"/>
          <w:szCs w:val="27"/>
        </w:rPr>
        <w:t>ng h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p)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xây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(X) = T x 10%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62A55">
      <w:pPr>
        <w:pStyle w:val="a0"/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(Z) = X x 6%</w:t>
      </w:r>
    </w:p>
    <w:p w:rsidR="00000000" w:rsidRDefault="00B62A5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125" w:right="1120" w:bottom="1440" w:left="2260" w:header="720" w:footer="720" w:gutter="0"/>
      <w:cols w:space="720" w:equalWidth="0">
        <w:col w:w="85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A55"/>
    <w:rsid w:val="00B6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0FA5D-A85A-4EB4-880C-B19C7F64FFF0}"/>
</file>

<file path=customXml/itemProps2.xml><?xml version="1.0" encoding="utf-8"?>
<ds:datastoreItem xmlns:ds="http://schemas.openxmlformats.org/officeDocument/2006/customXml" ds:itemID="{99301B98-F180-4C8A-AE9E-C3379098932E}"/>
</file>

<file path=customXml/itemProps3.xml><?xml version="1.0" encoding="utf-8"?>
<ds:datastoreItem xmlns:ds="http://schemas.openxmlformats.org/officeDocument/2006/customXml" ds:itemID="{8AA25620-B265-4307-95B9-651764369B0C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1923</ap:Words>
  <ap:Characters>10967</ap:Characters>
  <ap:Application>convertonlinefree.com</ap:Application>
  <ap:DocSecurity>4</ap:DocSecurity>
  <ap:Lines>91</ap:Lines>
  <ap:Paragraphs>25</ap:Paragraphs>
  <ap:ScaleCrop>false</ap:ScaleCrop>
  <ap:Company/>
  <ap:LinksUpToDate>false</ap:LinksUpToDate>
  <ap:CharactersWithSpaces>12865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2015-06-30T03:13:00Z</dcterms:created>
  <dcterms:modified xsi:type="dcterms:W3CDTF">2015-06-30T03:13:00Z</dcterms:modified>
</cp:coreProperties>
</file>