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C6" w:rsidRDefault="00AA1AC6" w:rsidP="00E634B6">
      <w:pPr>
        <w:pStyle w:val="Heading1"/>
      </w:pPr>
      <w:r>
        <w:t>Phụ lục</w:t>
      </w:r>
    </w:p>
    <w:p w:rsidR="0021372C" w:rsidRDefault="00AA1AC6" w:rsidP="00E634B6">
      <w:pPr>
        <w:pStyle w:val="Heading1"/>
      </w:pPr>
      <w:r>
        <w:t>P</w:t>
      </w:r>
      <w:r w:rsidR="009B3EDD">
        <w:t>HÂN CẤP NGUỒN THU, NHIỆM VỤ CHI, TỶ LỆ PHẦN TRĂM (%) PHÂN CHIA CÁC KHOẢN THU GIỮA NGÂN SÁCH CÁC CẤP CHÍNH QUYỀN ĐỊA PHƯƠNG TỈNH BÌNH DƯƠNG THỜI KỲ ỔN ĐỊNH NGÂN SÁCH NĂM 2017-2020</w:t>
      </w:r>
    </w:p>
    <w:p w:rsidR="00B779E1" w:rsidRDefault="009B3EDD" w:rsidP="00B779E1">
      <w:pPr>
        <w:pStyle w:val="Heading1"/>
        <w:rPr>
          <w:b w:val="0"/>
          <w:i/>
        </w:rPr>
      </w:pPr>
      <w:r w:rsidRPr="00AA1AC6">
        <w:rPr>
          <w:b w:val="0"/>
          <w:i/>
        </w:rPr>
        <w:t xml:space="preserve"> </w:t>
      </w:r>
      <w:r w:rsidR="00AA1AC6" w:rsidRPr="00AA1AC6">
        <w:rPr>
          <w:b w:val="0"/>
          <w:i/>
        </w:rPr>
        <w:t>(</w:t>
      </w:r>
      <w:r w:rsidR="00B779E1">
        <w:rPr>
          <w:b w:val="0"/>
          <w:i/>
        </w:rPr>
        <w:t>Ban hành k</w:t>
      </w:r>
      <w:r w:rsidR="00F54814">
        <w:rPr>
          <w:b w:val="0"/>
          <w:i/>
        </w:rPr>
        <w:t>èm theo Nghị quyết số 50</w:t>
      </w:r>
      <w:r w:rsidR="00D11E3C">
        <w:rPr>
          <w:b w:val="0"/>
          <w:i/>
        </w:rPr>
        <w:t>/2016/NQ-HĐND9</w:t>
      </w:r>
    </w:p>
    <w:p w:rsidR="00E634B6" w:rsidRPr="00BC6223" w:rsidRDefault="00F54814" w:rsidP="00B779E1">
      <w:pPr>
        <w:pStyle w:val="Heading1"/>
        <w:rPr>
          <w:b w:val="0"/>
          <w:bCs w:val="0"/>
        </w:rPr>
      </w:pPr>
      <w:r>
        <w:rPr>
          <w:b w:val="0"/>
          <w:i/>
        </w:rPr>
        <w:t xml:space="preserve">Ngày 16 </w:t>
      </w:r>
      <w:bookmarkStart w:id="0" w:name="_GoBack"/>
      <w:bookmarkEnd w:id="0"/>
      <w:r w:rsidR="00AA1AC6" w:rsidRPr="00AA1AC6">
        <w:rPr>
          <w:b w:val="0"/>
          <w:i/>
        </w:rPr>
        <w:t>tháng 12 năm 2016 c</w:t>
      </w:r>
      <w:r w:rsidR="007166DA">
        <w:rPr>
          <w:b w:val="0"/>
          <w:i/>
        </w:rPr>
        <w:t>ủa</w:t>
      </w:r>
      <w:r w:rsidR="00AA1AC6" w:rsidRPr="00AA1AC6">
        <w:rPr>
          <w:b w:val="0"/>
          <w:i/>
        </w:rPr>
        <w:t xml:space="preserve"> Hội đồng nhân dân tỉnh Bình Dương)</w:t>
      </w:r>
    </w:p>
    <w:p w:rsidR="00A67AC3" w:rsidRDefault="00B42C08" w:rsidP="00CC3E81">
      <w:pPr>
        <w:spacing w:before="360" w:after="240"/>
        <w:ind w:firstLine="567"/>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2386965</wp:posOffset>
                </wp:positionH>
                <wp:positionV relativeFrom="paragraph">
                  <wp:posOffset>53975</wp:posOffset>
                </wp:positionV>
                <wp:extent cx="11906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7.95pt;margin-top:4.25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Nb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"/>
            </w:pict>
          </mc:Fallback>
        </mc:AlternateContent>
      </w:r>
      <w:r w:rsidR="009B3EDD">
        <w:rPr>
          <w:b/>
        </w:rPr>
        <w:t>I</w:t>
      </w:r>
      <w:r w:rsidR="00A67AC3">
        <w:rPr>
          <w:b/>
        </w:rPr>
        <w:t xml:space="preserve">. </w:t>
      </w:r>
      <w:r w:rsidR="0004460C">
        <w:rPr>
          <w:b/>
        </w:rPr>
        <w:t>Phân cấp n</w:t>
      </w:r>
      <w:r w:rsidR="00A67AC3">
        <w:rPr>
          <w:b/>
        </w:rPr>
        <w:t>guồn thu</w:t>
      </w:r>
      <w:r w:rsidR="00590A8B">
        <w:rPr>
          <w:b/>
        </w:rPr>
        <w:t xml:space="preserve"> ngân sách </w:t>
      </w:r>
      <w:r w:rsidR="0004460C">
        <w:rPr>
          <w:b/>
        </w:rPr>
        <w:t>và tỷ lệ phần trăm (%) phân chia các khoản thu ngân sách giữa các cấp chính quyền địa phương</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814"/>
        <w:gridCol w:w="1114"/>
        <w:gridCol w:w="977"/>
        <w:gridCol w:w="850"/>
      </w:tblGrid>
      <w:tr w:rsidR="00692109" w:rsidRPr="00590A8B" w:rsidTr="00A32311">
        <w:trPr>
          <w:trHeight w:val="341"/>
          <w:tblHeader/>
        </w:trPr>
        <w:tc>
          <w:tcPr>
            <w:tcW w:w="385" w:type="pct"/>
            <w:vMerge w:val="restart"/>
            <w:shd w:val="clear" w:color="auto" w:fill="auto"/>
            <w:noWrap/>
            <w:vAlign w:val="center"/>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STT</w:t>
            </w:r>
          </w:p>
        </w:tc>
        <w:tc>
          <w:tcPr>
            <w:tcW w:w="3065" w:type="pct"/>
            <w:vMerge w:val="restart"/>
            <w:shd w:val="clear" w:color="auto" w:fill="auto"/>
            <w:noWrap/>
            <w:vAlign w:val="center"/>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Nội dung</w:t>
            </w:r>
          </w:p>
        </w:tc>
        <w:tc>
          <w:tcPr>
            <w:tcW w:w="1550" w:type="pct"/>
            <w:gridSpan w:val="3"/>
            <w:shd w:val="clear" w:color="auto" w:fill="auto"/>
            <w:vAlign w:val="center"/>
            <w:hideMark/>
          </w:tcPr>
          <w:p w:rsidR="00692109" w:rsidRPr="00590A8B" w:rsidRDefault="00692109" w:rsidP="00A32311">
            <w:pPr>
              <w:spacing w:before="0"/>
              <w:jc w:val="center"/>
              <w:rPr>
                <w:rFonts w:eastAsia="Times New Roman"/>
                <w:b/>
                <w:bCs/>
                <w:color w:val="000000"/>
                <w:sz w:val="26"/>
                <w:szCs w:val="26"/>
              </w:rPr>
            </w:pPr>
            <w:r>
              <w:rPr>
                <w:rFonts w:eastAsia="Times New Roman"/>
                <w:b/>
                <w:bCs/>
                <w:color w:val="000000"/>
                <w:sz w:val="26"/>
                <w:szCs w:val="26"/>
              </w:rPr>
              <w:t>Ngân sách nhà nước</w:t>
            </w:r>
          </w:p>
        </w:tc>
      </w:tr>
      <w:tr w:rsidR="00692109" w:rsidRPr="00590A8B" w:rsidTr="00A32311">
        <w:trPr>
          <w:trHeight w:val="451"/>
          <w:tblHeader/>
        </w:trPr>
        <w:tc>
          <w:tcPr>
            <w:tcW w:w="385" w:type="pct"/>
            <w:vMerge/>
            <w:shd w:val="clear" w:color="auto" w:fill="auto"/>
            <w:noWrap/>
            <w:vAlign w:val="center"/>
            <w:hideMark/>
          </w:tcPr>
          <w:p w:rsidR="00692109" w:rsidRPr="00590A8B" w:rsidRDefault="00692109" w:rsidP="00A32311">
            <w:pPr>
              <w:spacing w:before="0"/>
              <w:jc w:val="center"/>
              <w:rPr>
                <w:rFonts w:eastAsia="Times New Roman"/>
                <w:b/>
                <w:bCs/>
                <w:color w:val="000000"/>
                <w:sz w:val="26"/>
                <w:szCs w:val="26"/>
              </w:rPr>
            </w:pPr>
          </w:p>
        </w:tc>
        <w:tc>
          <w:tcPr>
            <w:tcW w:w="3065" w:type="pct"/>
            <w:vMerge/>
            <w:shd w:val="clear" w:color="auto" w:fill="auto"/>
            <w:noWrap/>
            <w:vAlign w:val="center"/>
            <w:hideMark/>
          </w:tcPr>
          <w:p w:rsidR="00692109" w:rsidRPr="00590A8B" w:rsidRDefault="00692109" w:rsidP="00A32311">
            <w:pPr>
              <w:spacing w:before="0"/>
              <w:jc w:val="center"/>
              <w:rPr>
                <w:rFonts w:eastAsia="Times New Roman"/>
                <w:b/>
                <w:bCs/>
                <w:color w:val="000000"/>
                <w:sz w:val="26"/>
                <w:szCs w:val="26"/>
              </w:rPr>
            </w:pPr>
          </w:p>
        </w:tc>
        <w:tc>
          <w:tcPr>
            <w:tcW w:w="587" w:type="pct"/>
            <w:shd w:val="clear" w:color="auto" w:fill="auto"/>
            <w:vAlign w:val="center"/>
            <w:hideMark/>
          </w:tcPr>
          <w:p w:rsidR="00692109" w:rsidRPr="00590A8B" w:rsidRDefault="00692109" w:rsidP="00A32311">
            <w:pPr>
              <w:spacing w:before="0"/>
              <w:jc w:val="center"/>
              <w:rPr>
                <w:rFonts w:eastAsia="Times New Roman"/>
                <w:b/>
                <w:bCs/>
                <w:color w:val="000000"/>
                <w:sz w:val="26"/>
                <w:szCs w:val="26"/>
              </w:rPr>
            </w:pPr>
            <w:r>
              <w:rPr>
                <w:rFonts w:eastAsia="Times New Roman"/>
                <w:b/>
                <w:bCs/>
                <w:color w:val="000000"/>
                <w:sz w:val="26"/>
                <w:szCs w:val="26"/>
              </w:rPr>
              <w:t>Cấp tỉnh</w:t>
            </w:r>
          </w:p>
        </w:tc>
        <w:tc>
          <w:tcPr>
            <w:tcW w:w="515" w:type="pct"/>
            <w:shd w:val="clear" w:color="auto" w:fill="auto"/>
            <w:vAlign w:val="center"/>
            <w:hideMark/>
          </w:tcPr>
          <w:p w:rsidR="00692109" w:rsidRPr="00590A8B" w:rsidRDefault="00692109" w:rsidP="00A32311">
            <w:pPr>
              <w:spacing w:before="0"/>
              <w:jc w:val="center"/>
              <w:rPr>
                <w:rFonts w:eastAsia="Times New Roman"/>
                <w:b/>
                <w:bCs/>
                <w:color w:val="000000"/>
                <w:sz w:val="26"/>
                <w:szCs w:val="26"/>
              </w:rPr>
            </w:pPr>
            <w:r>
              <w:rPr>
                <w:rFonts w:eastAsia="Times New Roman"/>
                <w:b/>
                <w:bCs/>
                <w:color w:val="000000"/>
                <w:sz w:val="26"/>
                <w:szCs w:val="26"/>
              </w:rPr>
              <w:t xml:space="preserve">Cấp </w:t>
            </w:r>
            <w:r w:rsidRPr="00590A8B">
              <w:rPr>
                <w:rFonts w:eastAsia="Times New Roman"/>
                <w:b/>
                <w:bCs/>
                <w:color w:val="000000"/>
                <w:sz w:val="26"/>
                <w:szCs w:val="26"/>
              </w:rPr>
              <w:t>huyện</w:t>
            </w:r>
          </w:p>
        </w:tc>
        <w:tc>
          <w:tcPr>
            <w:tcW w:w="448" w:type="pct"/>
            <w:shd w:val="clear" w:color="auto" w:fill="auto"/>
            <w:vAlign w:val="center"/>
            <w:hideMark/>
          </w:tcPr>
          <w:p w:rsidR="00692109" w:rsidRPr="00590A8B" w:rsidRDefault="00692109" w:rsidP="00A32311">
            <w:pPr>
              <w:spacing w:before="0"/>
              <w:jc w:val="center"/>
              <w:rPr>
                <w:rFonts w:eastAsia="Times New Roman"/>
                <w:b/>
                <w:bCs/>
                <w:color w:val="000000"/>
                <w:sz w:val="26"/>
                <w:szCs w:val="26"/>
              </w:rPr>
            </w:pPr>
            <w:r>
              <w:rPr>
                <w:rFonts w:eastAsia="Times New Roman"/>
                <w:b/>
                <w:bCs/>
                <w:color w:val="000000"/>
                <w:sz w:val="26"/>
                <w:szCs w:val="26"/>
              </w:rPr>
              <w:t xml:space="preserve">Cấp </w:t>
            </w:r>
            <w:r w:rsidRPr="00590A8B">
              <w:rPr>
                <w:rFonts w:eastAsia="Times New Roman"/>
                <w:b/>
                <w:bCs/>
                <w:color w:val="000000"/>
                <w:sz w:val="26"/>
                <w:szCs w:val="26"/>
              </w:rPr>
              <w:t>xã</w:t>
            </w: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I</w:t>
            </w:r>
          </w:p>
        </w:tc>
        <w:tc>
          <w:tcPr>
            <w:tcW w:w="3065" w:type="pct"/>
            <w:shd w:val="clear" w:color="auto" w:fill="auto"/>
            <w:vAlign w:val="bottom"/>
            <w:hideMark/>
          </w:tcPr>
          <w:p w:rsidR="00692109" w:rsidRPr="00590A8B" w:rsidRDefault="00692109" w:rsidP="00A32311">
            <w:pPr>
              <w:spacing w:before="0"/>
              <w:jc w:val="both"/>
              <w:rPr>
                <w:rFonts w:eastAsia="Times New Roman"/>
                <w:b/>
                <w:bCs/>
                <w:color w:val="000000"/>
                <w:sz w:val="26"/>
                <w:szCs w:val="26"/>
              </w:rPr>
            </w:pPr>
            <w:r w:rsidRPr="00590A8B">
              <w:rPr>
                <w:rFonts w:eastAsia="Times New Roman"/>
                <w:b/>
                <w:bCs/>
                <w:color w:val="000000"/>
                <w:sz w:val="26"/>
                <w:szCs w:val="26"/>
              </w:rPr>
              <w:t>Các khoản thu mỗi cấp ngân sách (tỉnh, huyện, xã) được hưởng 100%</w:t>
            </w:r>
          </w:p>
        </w:tc>
        <w:tc>
          <w:tcPr>
            <w:tcW w:w="587"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c>
          <w:tcPr>
            <w:tcW w:w="515"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c>
          <w:tcPr>
            <w:tcW w:w="448"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sidRPr="00590A8B">
              <w:rPr>
                <w:rFonts w:eastAsia="Times New Roman"/>
                <w:bCs/>
                <w:color w:val="000000"/>
                <w:sz w:val="26"/>
                <w:szCs w:val="26"/>
              </w:rPr>
              <w:t>1</w:t>
            </w:r>
          </w:p>
        </w:tc>
        <w:tc>
          <w:tcPr>
            <w:tcW w:w="3065" w:type="pct"/>
            <w:shd w:val="clear" w:color="auto" w:fill="auto"/>
            <w:vAlign w:val="bottom"/>
            <w:hideMark/>
          </w:tcPr>
          <w:p w:rsidR="00692109" w:rsidRPr="00590A8B" w:rsidRDefault="00692109" w:rsidP="00A32311">
            <w:pPr>
              <w:spacing w:before="0"/>
              <w:jc w:val="both"/>
              <w:rPr>
                <w:rFonts w:eastAsia="Times New Roman"/>
                <w:bCs/>
                <w:color w:val="000000"/>
                <w:sz w:val="26"/>
                <w:szCs w:val="26"/>
              </w:rPr>
            </w:pPr>
            <w:r w:rsidRPr="00590A8B">
              <w:rPr>
                <w:rFonts w:eastAsia="Times New Roman"/>
                <w:bCs/>
                <w:color w:val="000000"/>
                <w:sz w:val="26"/>
                <w:szCs w:val="26"/>
              </w:rPr>
              <w:t>Thuế tài nguyên</w:t>
            </w:r>
          </w:p>
        </w:tc>
        <w:tc>
          <w:tcPr>
            <w:tcW w:w="587"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c>
          <w:tcPr>
            <w:tcW w:w="515"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c>
          <w:tcPr>
            <w:tcW w:w="448"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1.1</w:t>
            </w: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Thu từ khu vực kinh tế </w:t>
            </w:r>
            <w:r>
              <w:rPr>
                <w:rFonts w:eastAsia="Times New Roman"/>
                <w:color w:val="000000"/>
                <w:sz w:val="26"/>
                <w:szCs w:val="26"/>
              </w:rPr>
              <w:t>nhà nước</w:t>
            </w:r>
            <w:r>
              <w:rPr>
                <w:rStyle w:val="FootnoteReference"/>
                <w:rFonts w:eastAsia="Times New Roman"/>
                <w:color w:val="000000"/>
                <w:sz w:val="26"/>
                <w:szCs w:val="26"/>
              </w:rPr>
              <w:footnoteReference w:id="1"/>
            </w:r>
            <w:r w:rsidRPr="00590A8B">
              <w:rPr>
                <w:rFonts w:eastAsia="Times New Roman"/>
                <w:color w:val="000000"/>
                <w:sz w:val="26"/>
                <w:szCs w:val="26"/>
              </w:rPr>
              <w:t xml:space="preserve"> và khu vực kinh tế có vốn đầu tư nước ngoài</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1.2</w:t>
            </w: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từ khu vực kinh tế dân doanh</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tỉnh, huyện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Pr>
                <w:rFonts w:eastAsia="Times New Roman"/>
                <w:bCs/>
                <w:color w:val="000000"/>
                <w:sz w:val="26"/>
                <w:szCs w:val="26"/>
              </w:rPr>
              <w:t>2</w:t>
            </w:r>
          </w:p>
        </w:tc>
        <w:tc>
          <w:tcPr>
            <w:tcW w:w="3065" w:type="pct"/>
            <w:shd w:val="clear" w:color="auto" w:fill="auto"/>
            <w:vAlign w:val="bottom"/>
            <w:hideMark/>
          </w:tcPr>
          <w:p w:rsidR="00692109" w:rsidRPr="00590A8B" w:rsidRDefault="00692109" w:rsidP="00A32311">
            <w:pPr>
              <w:spacing w:before="0"/>
              <w:jc w:val="both"/>
              <w:rPr>
                <w:rFonts w:eastAsia="Times New Roman"/>
                <w:bCs/>
                <w:color w:val="000000"/>
                <w:sz w:val="26"/>
                <w:szCs w:val="26"/>
              </w:rPr>
            </w:pPr>
            <w:r w:rsidRPr="00590A8B">
              <w:rPr>
                <w:rFonts w:eastAsia="Times New Roman"/>
                <w:bCs/>
                <w:color w:val="000000"/>
                <w:sz w:val="26"/>
                <w:szCs w:val="26"/>
              </w:rPr>
              <w:t>Thuế sử dụng đất nông nghiệp</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tỉnh, huyện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Pr>
                <w:rFonts w:eastAsia="Times New Roman"/>
                <w:bCs/>
                <w:color w:val="000000"/>
                <w:sz w:val="26"/>
                <w:szCs w:val="26"/>
              </w:rPr>
              <w:t>3</w:t>
            </w:r>
          </w:p>
        </w:tc>
        <w:tc>
          <w:tcPr>
            <w:tcW w:w="3065" w:type="pct"/>
            <w:shd w:val="clear" w:color="auto" w:fill="auto"/>
            <w:vAlign w:val="bottom"/>
            <w:hideMark/>
          </w:tcPr>
          <w:p w:rsidR="00692109" w:rsidRPr="00590A8B" w:rsidRDefault="00692109" w:rsidP="00A32311">
            <w:pPr>
              <w:spacing w:before="0"/>
              <w:jc w:val="both"/>
              <w:rPr>
                <w:rFonts w:eastAsia="Times New Roman"/>
                <w:bCs/>
                <w:color w:val="000000"/>
                <w:sz w:val="26"/>
                <w:szCs w:val="26"/>
              </w:rPr>
            </w:pPr>
            <w:r w:rsidRPr="00590A8B">
              <w:rPr>
                <w:rFonts w:eastAsia="Times New Roman"/>
                <w:bCs/>
                <w:color w:val="000000"/>
                <w:sz w:val="26"/>
                <w:szCs w:val="26"/>
              </w:rPr>
              <w:t>Thuế sử dụng đất phi nông nghiệp</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tỉnh, huyện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Pr>
                <w:rFonts w:eastAsia="Times New Roman"/>
                <w:bCs/>
                <w:color w:val="000000"/>
                <w:sz w:val="26"/>
                <w:szCs w:val="26"/>
              </w:rPr>
              <w:t>4</w:t>
            </w:r>
          </w:p>
        </w:tc>
        <w:tc>
          <w:tcPr>
            <w:tcW w:w="3065" w:type="pct"/>
            <w:shd w:val="clear" w:color="auto" w:fill="auto"/>
            <w:vAlign w:val="bottom"/>
            <w:hideMark/>
          </w:tcPr>
          <w:p w:rsidR="00692109" w:rsidRPr="00590A8B" w:rsidRDefault="00692109" w:rsidP="00A32311">
            <w:pPr>
              <w:spacing w:before="0"/>
              <w:jc w:val="both"/>
              <w:rPr>
                <w:rFonts w:eastAsia="Times New Roman"/>
                <w:bCs/>
                <w:color w:val="000000"/>
                <w:sz w:val="26"/>
                <w:szCs w:val="26"/>
              </w:rPr>
            </w:pPr>
            <w:r w:rsidRPr="00590A8B">
              <w:rPr>
                <w:rFonts w:eastAsia="Times New Roman"/>
                <w:bCs/>
                <w:color w:val="000000"/>
                <w:sz w:val="26"/>
                <w:szCs w:val="26"/>
              </w:rPr>
              <w:t xml:space="preserve">Tiền thuê mặt đất, mặt nước </w:t>
            </w:r>
          </w:p>
        </w:tc>
        <w:tc>
          <w:tcPr>
            <w:tcW w:w="587" w:type="pct"/>
            <w:shd w:val="clear" w:color="auto" w:fill="auto"/>
            <w:noWrap/>
            <w:hideMark/>
          </w:tcPr>
          <w:p w:rsidR="00692109" w:rsidRPr="00590A8B" w:rsidRDefault="00692109" w:rsidP="00A32311">
            <w:pPr>
              <w:spacing w:before="0"/>
              <w:jc w:val="center"/>
              <w:rPr>
                <w:rFonts w:eastAsia="Times New Roman"/>
                <w:bCs/>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 Từ khu vực kinh tế có vốn đầu tư nước ngoài và tiền thuê đất của các </w:t>
            </w:r>
            <w:r>
              <w:rPr>
                <w:rFonts w:eastAsia="Times New Roman"/>
                <w:color w:val="000000"/>
                <w:sz w:val="26"/>
                <w:szCs w:val="26"/>
              </w:rPr>
              <w:t>K</w:t>
            </w:r>
            <w:r w:rsidRPr="00590A8B">
              <w:rPr>
                <w:rFonts w:eastAsia="Times New Roman"/>
                <w:color w:val="000000"/>
                <w:sz w:val="26"/>
                <w:szCs w:val="26"/>
              </w:rPr>
              <w:t>hu công nghiệp</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Từ các khu vực còn lại</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5</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từ quỹ đất công ích và thu hoa lợi công sản khác do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Pr>
                <w:rFonts w:eastAsia="Times New Roman"/>
                <w:bCs/>
                <w:color w:val="000000"/>
                <w:sz w:val="26"/>
                <w:szCs w:val="26"/>
              </w:rPr>
              <w:t>6</w:t>
            </w:r>
          </w:p>
        </w:tc>
        <w:tc>
          <w:tcPr>
            <w:tcW w:w="3065" w:type="pct"/>
            <w:shd w:val="clear" w:color="auto" w:fill="auto"/>
            <w:vAlign w:val="bottom"/>
            <w:hideMark/>
          </w:tcPr>
          <w:p w:rsidR="00692109" w:rsidRPr="00590A8B" w:rsidRDefault="00692109" w:rsidP="00A32311">
            <w:pPr>
              <w:spacing w:before="0"/>
              <w:jc w:val="both"/>
              <w:rPr>
                <w:rFonts w:eastAsia="Times New Roman"/>
                <w:bCs/>
                <w:color w:val="000000"/>
                <w:sz w:val="26"/>
                <w:szCs w:val="26"/>
              </w:rPr>
            </w:pPr>
            <w:r w:rsidRPr="00590A8B">
              <w:rPr>
                <w:rFonts w:eastAsia="Times New Roman"/>
                <w:bCs/>
                <w:color w:val="000000"/>
                <w:sz w:val="26"/>
                <w:szCs w:val="26"/>
              </w:rPr>
              <w:t>Thu tiền sử dụng đất</w:t>
            </w:r>
          </w:p>
        </w:tc>
        <w:tc>
          <w:tcPr>
            <w:tcW w:w="587"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sidRPr="00590A8B">
              <w:rPr>
                <w:rFonts w:eastAsia="Times New Roman"/>
                <w:bCs/>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7</w:t>
            </w: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Tiền cho thuê và tiền bán nhà ở thuộc sở hữu nhà nước</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Pr>
                <w:rFonts w:eastAsia="Times New Roman"/>
                <w:bCs/>
                <w:color w:val="000000"/>
                <w:sz w:val="26"/>
                <w:szCs w:val="26"/>
              </w:rPr>
              <w:t>8</w:t>
            </w:r>
          </w:p>
        </w:tc>
        <w:tc>
          <w:tcPr>
            <w:tcW w:w="3065" w:type="pct"/>
            <w:shd w:val="clear" w:color="auto" w:fill="auto"/>
            <w:vAlign w:val="bottom"/>
            <w:hideMark/>
          </w:tcPr>
          <w:p w:rsidR="00692109" w:rsidRPr="00590A8B" w:rsidRDefault="00692109" w:rsidP="00A32311">
            <w:pPr>
              <w:spacing w:before="0"/>
              <w:jc w:val="both"/>
              <w:rPr>
                <w:rFonts w:eastAsia="Times New Roman"/>
                <w:bCs/>
                <w:color w:val="000000"/>
                <w:sz w:val="26"/>
                <w:szCs w:val="26"/>
              </w:rPr>
            </w:pPr>
            <w:r w:rsidRPr="00590A8B">
              <w:rPr>
                <w:rFonts w:eastAsia="Times New Roman"/>
                <w:bCs/>
                <w:color w:val="000000"/>
                <w:sz w:val="26"/>
                <w:szCs w:val="26"/>
              </w:rPr>
              <w:t>Thu từ hoạt động xổ số kiến thiết</w:t>
            </w:r>
          </w:p>
        </w:tc>
        <w:tc>
          <w:tcPr>
            <w:tcW w:w="587"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sidRPr="00590A8B">
              <w:rPr>
                <w:rFonts w:eastAsia="Times New Roman"/>
                <w:bCs/>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9</w:t>
            </w: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từ quỹ dự trữ tài chính địa phương</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vAlign w:val="bottom"/>
            <w:hideMark/>
          </w:tcPr>
          <w:p w:rsidR="00692109" w:rsidRPr="00590A8B" w:rsidRDefault="00692109" w:rsidP="00A32311">
            <w:pPr>
              <w:spacing w:before="0"/>
              <w:rPr>
                <w:rFonts w:eastAsia="Times New Roman"/>
                <w:color w:val="000000"/>
                <w:sz w:val="26"/>
                <w:szCs w:val="26"/>
              </w:rPr>
            </w:pPr>
          </w:p>
        </w:tc>
      </w:tr>
      <w:tr w:rsidR="00692109" w:rsidRPr="00590A8B" w:rsidTr="00A32311">
        <w:trPr>
          <w:trHeight w:val="210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lastRenderedPageBreak/>
              <w:t>10</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Các khoản thu hồi vốn của </w:t>
            </w:r>
            <w:r>
              <w:rPr>
                <w:rFonts w:eastAsia="Times New Roman"/>
                <w:color w:val="000000"/>
                <w:sz w:val="26"/>
                <w:szCs w:val="26"/>
              </w:rPr>
              <w:t xml:space="preserve">ngân sách địa phương </w:t>
            </w:r>
            <w:r w:rsidRPr="00590A8B">
              <w:rPr>
                <w:rFonts w:eastAsia="Times New Roman"/>
                <w:color w:val="000000"/>
                <w:sz w:val="26"/>
                <w:szCs w:val="26"/>
              </w:rPr>
              <w:t xml:space="preserve">đầu tư tại các tổ chức kinh tế; thu cổ tức, lợi nhuận được chia tại công ty cổ phần, công ty trách nhiệm hữu hạn hai thành viên trở lên có vốn góp của Nhà nước do </w:t>
            </w:r>
            <w:r>
              <w:rPr>
                <w:rFonts w:eastAsia="Times New Roman"/>
                <w:color w:val="000000"/>
                <w:sz w:val="26"/>
                <w:szCs w:val="26"/>
              </w:rPr>
              <w:t>Ủy ban nhân dân (</w:t>
            </w:r>
            <w:r w:rsidRPr="00590A8B">
              <w:rPr>
                <w:rFonts w:eastAsia="Times New Roman"/>
                <w:color w:val="000000"/>
                <w:sz w:val="26"/>
                <w:szCs w:val="26"/>
              </w:rPr>
              <w:t>UBND</w:t>
            </w:r>
            <w:r>
              <w:rPr>
                <w:rFonts w:eastAsia="Times New Roman"/>
                <w:color w:val="000000"/>
                <w:sz w:val="26"/>
                <w:szCs w:val="26"/>
              </w:rPr>
              <w:t>)</w:t>
            </w:r>
            <w:r w:rsidRPr="00590A8B">
              <w:rPr>
                <w:rFonts w:eastAsia="Times New Roman"/>
                <w:color w:val="000000"/>
                <w:sz w:val="26"/>
                <w:szCs w:val="26"/>
              </w:rPr>
              <w:t xml:space="preserve"> </w:t>
            </w:r>
            <w:r>
              <w:rPr>
                <w:rFonts w:eastAsia="Times New Roman"/>
                <w:color w:val="000000"/>
                <w:sz w:val="26"/>
                <w:szCs w:val="26"/>
              </w:rPr>
              <w:t xml:space="preserve">cấp </w:t>
            </w:r>
            <w:r w:rsidRPr="00590A8B">
              <w:rPr>
                <w:rFonts w:eastAsia="Times New Roman"/>
                <w:color w:val="000000"/>
                <w:sz w:val="26"/>
                <w:szCs w:val="26"/>
              </w:rPr>
              <w:t xml:space="preserve">tỉnh đại diện chủ sở hữu; thu phần lợi nhuận sau thuế còn lại sau khi trích lập các quỹ của </w:t>
            </w:r>
            <w:r>
              <w:rPr>
                <w:rFonts w:eastAsia="Times New Roman"/>
                <w:color w:val="000000"/>
                <w:sz w:val="26"/>
                <w:szCs w:val="26"/>
              </w:rPr>
              <w:t>doanh nghiệp nhà nước (DNNN)</w:t>
            </w:r>
            <w:r w:rsidRPr="00590A8B">
              <w:rPr>
                <w:rFonts w:eastAsia="Times New Roman"/>
                <w:color w:val="000000"/>
                <w:sz w:val="26"/>
                <w:szCs w:val="26"/>
              </w:rPr>
              <w:t xml:space="preserve"> do UBND </w:t>
            </w:r>
            <w:r>
              <w:rPr>
                <w:rFonts w:eastAsia="Times New Roman"/>
                <w:color w:val="000000"/>
                <w:sz w:val="26"/>
                <w:szCs w:val="26"/>
              </w:rPr>
              <w:t xml:space="preserve">cấp </w:t>
            </w:r>
            <w:r w:rsidRPr="00590A8B">
              <w:rPr>
                <w:rFonts w:eastAsia="Times New Roman"/>
                <w:color w:val="000000"/>
                <w:sz w:val="26"/>
                <w:szCs w:val="26"/>
              </w:rPr>
              <w:t>tỉnh đại diện chủ sở hữu</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Pr>
                <w:rFonts w:eastAsia="Times New Roman"/>
                <w:bCs/>
                <w:color w:val="000000"/>
                <w:sz w:val="26"/>
                <w:szCs w:val="26"/>
              </w:rPr>
              <w:t>11</w:t>
            </w: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Lệ phí trước bạ</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huyện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bCs/>
                <w:color w:val="000000"/>
                <w:sz w:val="26"/>
                <w:szCs w:val="26"/>
              </w:rPr>
            </w:pPr>
            <w:r>
              <w:rPr>
                <w:rFonts w:eastAsia="Times New Roman"/>
                <w:bCs/>
                <w:color w:val="000000"/>
                <w:sz w:val="26"/>
                <w:szCs w:val="26"/>
              </w:rPr>
              <w:t>12</w:t>
            </w:r>
          </w:p>
        </w:tc>
        <w:tc>
          <w:tcPr>
            <w:tcW w:w="3065" w:type="pct"/>
            <w:shd w:val="clear" w:color="auto" w:fill="auto"/>
            <w:vAlign w:val="bottom"/>
            <w:hideMark/>
          </w:tcPr>
          <w:p w:rsidR="00692109" w:rsidRPr="00590A8B" w:rsidRDefault="00692109" w:rsidP="00A32311">
            <w:pPr>
              <w:spacing w:before="0"/>
              <w:jc w:val="both"/>
              <w:rPr>
                <w:rFonts w:eastAsia="Times New Roman"/>
                <w:bCs/>
                <w:color w:val="000000"/>
                <w:sz w:val="26"/>
                <w:szCs w:val="26"/>
              </w:rPr>
            </w:pPr>
            <w:r w:rsidRPr="00590A8B">
              <w:rPr>
                <w:rFonts w:eastAsia="Times New Roman"/>
                <w:bCs/>
                <w:color w:val="000000"/>
                <w:sz w:val="26"/>
                <w:szCs w:val="26"/>
              </w:rPr>
              <w:t xml:space="preserve">Lệ phí môn bài </w:t>
            </w:r>
          </w:p>
        </w:tc>
        <w:tc>
          <w:tcPr>
            <w:tcW w:w="587" w:type="pct"/>
            <w:shd w:val="clear" w:color="auto" w:fill="auto"/>
            <w:noWrap/>
            <w:hideMark/>
          </w:tcPr>
          <w:p w:rsidR="00692109" w:rsidRPr="00590A8B" w:rsidRDefault="00692109" w:rsidP="00A32311">
            <w:pPr>
              <w:spacing w:before="0"/>
              <w:jc w:val="center"/>
              <w:rPr>
                <w:rFonts w:eastAsia="Times New Roman"/>
                <w:bCs/>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23"/>
          <w:tblHeader/>
        </w:trPr>
        <w:tc>
          <w:tcPr>
            <w:tcW w:w="385" w:type="pct"/>
            <w:shd w:val="clear" w:color="auto" w:fill="auto"/>
            <w:noWrap/>
            <w:vAlign w:val="bottom"/>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 Cấp </w:t>
            </w:r>
            <w:r>
              <w:rPr>
                <w:rFonts w:eastAsia="Times New Roman"/>
                <w:color w:val="000000"/>
                <w:sz w:val="26"/>
                <w:szCs w:val="26"/>
              </w:rPr>
              <w:t xml:space="preserve">tỉnh </w:t>
            </w:r>
            <w:r w:rsidRPr="00590A8B">
              <w:rPr>
                <w:rFonts w:eastAsia="Times New Roman"/>
                <w:color w:val="000000"/>
                <w:sz w:val="26"/>
                <w:szCs w:val="26"/>
              </w:rPr>
              <w:t>quản l</w:t>
            </w:r>
            <w:r>
              <w:rPr>
                <w:rFonts w:eastAsia="Times New Roman"/>
                <w:color w:val="000000"/>
                <w:sz w:val="26"/>
                <w:szCs w:val="26"/>
              </w:rPr>
              <w:t>ý</w:t>
            </w:r>
          </w:p>
        </w:tc>
        <w:tc>
          <w:tcPr>
            <w:tcW w:w="587" w:type="pct"/>
            <w:shd w:val="clear" w:color="auto" w:fill="auto"/>
            <w:noWrap/>
            <w:vAlign w:val="bottom"/>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vAlign w:val="bottom"/>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vAlign w:val="bottom"/>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huyện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2708"/>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13</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Phí thu từ các hoạt động dịch vụ do các cơ quan nhà nước địa phương thực hiện, trường hợp được khoán chi phí hoạt động thì được khấu trừ; các khoản phí thu từ các hoạt động dịch vụ do đơn vị sự nghiệp công lập và </w:t>
            </w:r>
            <w:r>
              <w:rPr>
                <w:rFonts w:eastAsia="Times New Roman"/>
                <w:color w:val="000000"/>
                <w:sz w:val="26"/>
                <w:szCs w:val="26"/>
              </w:rPr>
              <w:t>DNNN</w:t>
            </w:r>
            <w:r w:rsidRPr="00590A8B">
              <w:rPr>
                <w:rFonts w:eastAsia="Times New Roman"/>
                <w:color w:val="000000"/>
                <w:sz w:val="26"/>
                <w:szCs w:val="26"/>
              </w:rPr>
              <w:t xml:space="preserve"> do </w:t>
            </w:r>
            <w:r>
              <w:rPr>
                <w:rFonts w:eastAsia="Times New Roman"/>
                <w:color w:val="000000"/>
                <w:sz w:val="26"/>
                <w:szCs w:val="26"/>
              </w:rPr>
              <w:t>UBND</w:t>
            </w:r>
            <w:r w:rsidRPr="00590A8B">
              <w:rPr>
                <w:rFonts w:eastAsia="Times New Roman"/>
                <w:color w:val="000000"/>
                <w:sz w:val="26"/>
                <w:szCs w:val="26"/>
              </w:rPr>
              <w:t xml:space="preserve"> cấp tỉnh đại diện chủ sở hữu thì được phép trích lại một phần hoặc toàn bộ, phần còn lại thực hiện nộp ngân sách theo quy định của pháp luật về phí, lệ phí và quy định khác của pháp luật có liên quan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Pr>
                <w:rFonts w:eastAsia="Times New Roman"/>
                <w:color w:val="000000"/>
                <w:sz w:val="26"/>
                <w:szCs w:val="26"/>
              </w:rPr>
              <w:t>- Phí t</w:t>
            </w:r>
            <w:r w:rsidRPr="00590A8B">
              <w:rPr>
                <w:rFonts w:eastAsia="Times New Roman"/>
                <w:color w:val="000000"/>
                <w:sz w:val="26"/>
                <w:szCs w:val="26"/>
              </w:rPr>
              <w:t>hu từ các hoạt động của cơ quan nhà nước địa phương</w:t>
            </w:r>
            <w:r>
              <w:rPr>
                <w:rStyle w:val="FootnoteReference"/>
                <w:rFonts w:eastAsia="Times New Roman"/>
                <w:color w:val="000000"/>
                <w:sz w:val="26"/>
                <w:szCs w:val="26"/>
              </w:rPr>
              <w:footnoteReference w:id="2"/>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Pr>
                <w:rFonts w:eastAsia="Times New Roman"/>
                <w:color w:val="000000"/>
                <w:sz w:val="26"/>
                <w:szCs w:val="26"/>
              </w:rPr>
              <w:t>- Phí t</w:t>
            </w:r>
            <w:r w:rsidRPr="00590A8B">
              <w:rPr>
                <w:rFonts w:eastAsia="Times New Roman"/>
                <w:color w:val="000000"/>
                <w:sz w:val="26"/>
                <w:szCs w:val="26"/>
              </w:rPr>
              <w:t xml:space="preserve">hu từ đơn vị sự nghiệp công lập và </w:t>
            </w:r>
            <w:r>
              <w:rPr>
                <w:rFonts w:eastAsia="Times New Roman"/>
                <w:color w:val="000000"/>
                <w:sz w:val="26"/>
                <w:szCs w:val="26"/>
              </w:rPr>
              <w:t>DNNN</w:t>
            </w:r>
            <w:r w:rsidRPr="00590A8B">
              <w:rPr>
                <w:rFonts w:eastAsia="Times New Roman"/>
                <w:color w:val="000000"/>
                <w:sz w:val="26"/>
                <w:szCs w:val="26"/>
              </w:rPr>
              <w:t xml:space="preserve"> do </w:t>
            </w:r>
            <w:r>
              <w:rPr>
                <w:rFonts w:eastAsia="Times New Roman"/>
                <w:color w:val="000000"/>
                <w:sz w:val="26"/>
                <w:szCs w:val="26"/>
              </w:rPr>
              <w:t xml:space="preserve">UBND </w:t>
            </w:r>
            <w:r w:rsidRPr="00590A8B">
              <w:rPr>
                <w:rFonts w:eastAsia="Times New Roman"/>
                <w:color w:val="000000"/>
                <w:sz w:val="26"/>
                <w:szCs w:val="26"/>
              </w:rPr>
              <w:t>tỉnh đại diện chủ sở hữu</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vAlign w:val="bottom"/>
            <w:hideMark/>
          </w:tcPr>
          <w:p w:rsidR="00692109" w:rsidRPr="00590A8B" w:rsidRDefault="00692109" w:rsidP="00A32311">
            <w:pPr>
              <w:spacing w:before="0"/>
              <w:rPr>
                <w:rFonts w:eastAsia="Times New Roman"/>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Pr>
                <w:rFonts w:eastAsia="Times New Roman"/>
                <w:color w:val="000000"/>
                <w:sz w:val="26"/>
                <w:szCs w:val="26"/>
              </w:rPr>
              <w:t xml:space="preserve">- </w:t>
            </w:r>
            <w:r w:rsidRPr="00590A8B">
              <w:rPr>
                <w:rFonts w:eastAsia="Times New Roman"/>
                <w:color w:val="000000"/>
                <w:sz w:val="26"/>
                <w:szCs w:val="26"/>
              </w:rPr>
              <w:t>Thu từ đơn vị sự nghiệp công lập cấp huyện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vAlign w:val="bottom"/>
            <w:hideMark/>
          </w:tcPr>
          <w:p w:rsidR="00692109" w:rsidRPr="00590A8B" w:rsidRDefault="00692109" w:rsidP="00A32311">
            <w:pPr>
              <w:spacing w:before="0"/>
              <w:rPr>
                <w:rFonts w:eastAsia="Times New Roman"/>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w:t>
            </w:r>
            <w:r>
              <w:rPr>
                <w:rFonts w:eastAsia="Times New Roman"/>
                <w:color w:val="000000"/>
                <w:sz w:val="26"/>
                <w:szCs w:val="26"/>
              </w:rPr>
              <w:t>4</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Lệ phí do các cơ quan nhà nước </w:t>
            </w:r>
            <w:r>
              <w:rPr>
                <w:rFonts w:eastAsia="Times New Roman"/>
                <w:color w:val="000000"/>
                <w:sz w:val="26"/>
                <w:szCs w:val="26"/>
              </w:rPr>
              <w:t xml:space="preserve">địa phương </w:t>
            </w:r>
            <w:r w:rsidRPr="00590A8B">
              <w:rPr>
                <w:rFonts w:eastAsia="Times New Roman"/>
                <w:color w:val="000000"/>
                <w:sz w:val="26"/>
                <w:szCs w:val="26"/>
              </w:rPr>
              <w:t>thực hiện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99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w:t>
            </w:r>
            <w:r>
              <w:rPr>
                <w:rFonts w:eastAsia="Times New Roman"/>
                <w:color w:val="000000"/>
                <w:sz w:val="26"/>
                <w:szCs w:val="26"/>
              </w:rPr>
              <w:t>5</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Tiền thu từ xử phạt vi phạm hành chính, phạt, tịch thu khác theo quy định của pháp luật do các cơ quan nhà nước địa phương thực hiện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16</w:t>
            </w:r>
          </w:p>
        </w:tc>
        <w:tc>
          <w:tcPr>
            <w:tcW w:w="3065" w:type="pct"/>
            <w:shd w:val="clear" w:color="auto" w:fill="auto"/>
            <w:vAlign w:val="bottom"/>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từ bán tài sản nhà nước do các cơ quan, tổ chức, đơn vị thuộc địa phương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100%</w:t>
            </w:r>
          </w:p>
        </w:tc>
      </w:tr>
      <w:tr w:rsidR="00692109" w:rsidRPr="00590A8B" w:rsidTr="00A32311">
        <w:trPr>
          <w:trHeight w:val="325"/>
          <w:tblHeader/>
        </w:trPr>
        <w:tc>
          <w:tcPr>
            <w:tcW w:w="385" w:type="pct"/>
            <w:shd w:val="clear" w:color="auto" w:fill="auto"/>
            <w:noWrap/>
            <w:vAlign w:val="bottom"/>
            <w:hideMark/>
          </w:tcPr>
          <w:p w:rsidR="00692109" w:rsidRPr="00590A8B" w:rsidRDefault="00692109" w:rsidP="00A32311">
            <w:pPr>
              <w:spacing w:before="0"/>
              <w:rPr>
                <w:rFonts w:eastAsia="Times New Roman"/>
                <w:i/>
                <w:iCs/>
                <w:color w:val="000000"/>
                <w:sz w:val="26"/>
                <w:szCs w:val="26"/>
              </w:rPr>
            </w:pPr>
          </w:p>
        </w:tc>
        <w:tc>
          <w:tcPr>
            <w:tcW w:w="3065" w:type="pct"/>
            <w:shd w:val="clear" w:color="auto" w:fill="auto"/>
            <w:vAlign w:val="bottom"/>
            <w:hideMark/>
          </w:tcPr>
          <w:p w:rsidR="00692109" w:rsidRPr="00590A8B" w:rsidRDefault="00692109" w:rsidP="00A32311">
            <w:pPr>
              <w:spacing w:before="0"/>
              <w:rPr>
                <w:rFonts w:eastAsia="Times New Roman"/>
                <w:i/>
                <w:iCs/>
                <w:color w:val="000000"/>
                <w:sz w:val="26"/>
                <w:szCs w:val="26"/>
              </w:rPr>
            </w:pPr>
            <w:r>
              <w:rPr>
                <w:rFonts w:eastAsia="Times New Roman"/>
                <w:i/>
                <w:iCs/>
                <w:color w:val="000000"/>
                <w:sz w:val="26"/>
                <w:szCs w:val="26"/>
              </w:rPr>
              <w:t xml:space="preserve">* </w:t>
            </w:r>
            <w:r w:rsidRPr="00590A8B">
              <w:rPr>
                <w:rFonts w:eastAsia="Times New Roman"/>
                <w:i/>
                <w:iCs/>
                <w:color w:val="000000"/>
                <w:sz w:val="26"/>
                <w:szCs w:val="26"/>
              </w:rPr>
              <w:t>Riêng thu tiền sử dụng đất gắn với tài sản trên đất</w:t>
            </w:r>
          </w:p>
        </w:tc>
        <w:tc>
          <w:tcPr>
            <w:tcW w:w="587" w:type="pct"/>
            <w:shd w:val="clear" w:color="auto" w:fill="auto"/>
            <w:noWrap/>
            <w:hideMark/>
          </w:tcPr>
          <w:p w:rsidR="00692109" w:rsidRPr="00590A8B" w:rsidRDefault="00692109" w:rsidP="00A32311">
            <w:pPr>
              <w:spacing w:before="0"/>
              <w:jc w:val="center"/>
              <w:rPr>
                <w:rFonts w:eastAsia="Times New Roman"/>
                <w:i/>
                <w:iCs/>
                <w:color w:val="000000"/>
                <w:sz w:val="26"/>
                <w:szCs w:val="26"/>
              </w:rPr>
            </w:pPr>
            <w:r w:rsidRPr="00590A8B">
              <w:rPr>
                <w:rFonts w:eastAsia="Times New Roman"/>
                <w:i/>
                <w:iCs/>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i/>
                <w:iCs/>
                <w:color w:val="000000"/>
                <w:sz w:val="26"/>
                <w:szCs w:val="26"/>
              </w:rPr>
            </w:pPr>
          </w:p>
        </w:tc>
        <w:tc>
          <w:tcPr>
            <w:tcW w:w="448" w:type="pct"/>
            <w:shd w:val="clear" w:color="auto" w:fill="auto"/>
            <w:noWrap/>
            <w:vAlign w:val="bottom"/>
            <w:hideMark/>
          </w:tcPr>
          <w:p w:rsidR="00692109" w:rsidRPr="00590A8B" w:rsidRDefault="00692109" w:rsidP="00A32311">
            <w:pPr>
              <w:spacing w:before="0"/>
              <w:rPr>
                <w:rFonts w:eastAsia="Times New Roman"/>
                <w:i/>
                <w:iCs/>
                <w:color w:val="000000"/>
                <w:sz w:val="26"/>
                <w:szCs w:val="26"/>
              </w:rPr>
            </w:pPr>
          </w:p>
        </w:tc>
      </w:tr>
      <w:tr w:rsidR="00692109" w:rsidRPr="00590A8B" w:rsidTr="00A32311">
        <w:trPr>
          <w:trHeight w:val="99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w:t>
            </w:r>
            <w:r>
              <w:rPr>
                <w:rFonts w:eastAsia="Times New Roman"/>
                <w:color w:val="000000"/>
                <w:sz w:val="26"/>
                <w:szCs w:val="26"/>
              </w:rPr>
              <w:t>7</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từ tài sản được xác lập quyền sở hữu của Nhà nước do các cơ quan, tổ chức, đơn vị thuộc địa phương xử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100%</w:t>
            </w:r>
          </w:p>
        </w:tc>
      </w:tr>
      <w:tr w:rsidR="00692109" w:rsidRPr="00590A8B" w:rsidTr="00A32311">
        <w:trPr>
          <w:trHeight w:val="99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lastRenderedPageBreak/>
              <w:t>1</w:t>
            </w:r>
            <w:r>
              <w:rPr>
                <w:rFonts w:eastAsia="Times New Roman"/>
                <w:color w:val="000000"/>
                <w:sz w:val="26"/>
                <w:szCs w:val="26"/>
              </w:rPr>
              <w:t>8</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Viện trợ không hoàn lại của các tổ chức quốc tế, các tổ chức khác, các cá nhân ở nước ngoài trực tiếp cho từng cấp ngân sách</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w:t>
            </w:r>
            <w:r>
              <w:rPr>
                <w:rFonts w:eastAsia="Times New Roman"/>
                <w:color w:val="000000"/>
                <w:sz w:val="26"/>
                <w:szCs w:val="26"/>
              </w:rPr>
              <w:t>9</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Huy động đóng góp từ các cơ quan, tổ chức, cá nhân cho ngân sách các cấp theo quy định của pháp luật</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20</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Thu kết dư ngân sách </w:t>
            </w:r>
            <w:r>
              <w:rPr>
                <w:rFonts w:eastAsia="Times New Roman"/>
                <w:color w:val="000000"/>
                <w:sz w:val="26"/>
                <w:szCs w:val="26"/>
              </w:rPr>
              <w:t>các cấp</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21</w:t>
            </w:r>
          </w:p>
        </w:tc>
        <w:tc>
          <w:tcPr>
            <w:tcW w:w="3065" w:type="pct"/>
            <w:shd w:val="clear" w:color="auto" w:fill="auto"/>
            <w:hideMark/>
          </w:tcPr>
          <w:p w:rsidR="00692109" w:rsidRPr="00B80AEC"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Các khoản thu khác </w:t>
            </w:r>
            <w:r>
              <w:rPr>
                <w:rFonts w:eastAsia="Times New Roman"/>
                <w:color w:val="000000"/>
                <w:sz w:val="26"/>
                <w:szCs w:val="26"/>
              </w:rPr>
              <w:t xml:space="preserve">của các cấp ngân sách </w:t>
            </w:r>
            <w:r w:rsidRPr="00590A8B">
              <w:rPr>
                <w:rFonts w:eastAsia="Times New Roman"/>
                <w:color w:val="000000"/>
                <w:sz w:val="26"/>
                <w:szCs w:val="26"/>
              </w:rPr>
              <w:t>theo quy định của pháp luật</w:t>
            </w:r>
            <w:r>
              <w:rPr>
                <w:rFonts w:eastAsia="Times New Roman"/>
                <w:color w:val="000000"/>
                <w:sz w:val="26"/>
                <w:szCs w:val="26"/>
              </w:rPr>
              <w:t xml:space="preserve"> </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100%</w:t>
            </w: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II</w:t>
            </w:r>
          </w:p>
        </w:tc>
        <w:tc>
          <w:tcPr>
            <w:tcW w:w="3065" w:type="pct"/>
            <w:shd w:val="clear" w:color="auto" w:fill="auto"/>
            <w:hideMark/>
          </w:tcPr>
          <w:p w:rsidR="00692109" w:rsidRPr="00590A8B" w:rsidRDefault="00692109" w:rsidP="00A32311">
            <w:pPr>
              <w:spacing w:before="0"/>
              <w:jc w:val="both"/>
              <w:rPr>
                <w:rFonts w:eastAsia="Times New Roman"/>
                <w:b/>
                <w:bCs/>
                <w:color w:val="000000"/>
                <w:sz w:val="26"/>
                <w:szCs w:val="26"/>
              </w:rPr>
            </w:pPr>
            <w:r w:rsidRPr="00590A8B">
              <w:rPr>
                <w:rFonts w:eastAsia="Times New Roman"/>
                <w:b/>
                <w:bCs/>
                <w:color w:val="000000"/>
                <w:sz w:val="26"/>
                <w:szCs w:val="26"/>
              </w:rPr>
              <w:t xml:space="preserve">Các khoản thu phân chia theo tỷ lệ % giữa </w:t>
            </w:r>
            <w:r>
              <w:rPr>
                <w:rFonts w:eastAsia="Times New Roman"/>
                <w:b/>
                <w:bCs/>
                <w:color w:val="000000"/>
                <w:sz w:val="26"/>
                <w:szCs w:val="26"/>
              </w:rPr>
              <w:t xml:space="preserve">ngân sách Trung ương </w:t>
            </w:r>
            <w:r w:rsidRPr="00590A8B">
              <w:rPr>
                <w:rFonts w:eastAsia="Times New Roman"/>
                <w:b/>
                <w:bCs/>
                <w:color w:val="000000"/>
                <w:sz w:val="26"/>
                <w:szCs w:val="26"/>
              </w:rPr>
              <w:t>và NSĐP</w:t>
            </w:r>
          </w:p>
        </w:tc>
        <w:tc>
          <w:tcPr>
            <w:tcW w:w="587"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c>
          <w:tcPr>
            <w:tcW w:w="515"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c>
          <w:tcPr>
            <w:tcW w:w="448" w:type="pct"/>
            <w:shd w:val="clear" w:color="auto" w:fill="auto"/>
            <w:noWrap/>
            <w:vAlign w:val="bottom"/>
            <w:hideMark/>
          </w:tcPr>
          <w:p w:rsidR="00692109" w:rsidRPr="00590A8B" w:rsidRDefault="00692109" w:rsidP="00A32311">
            <w:pPr>
              <w:spacing w:before="0"/>
              <w:rPr>
                <w:rFonts w:eastAsia="Times New Roman"/>
                <w:b/>
                <w:bCs/>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Thuế tiêu thụ đặc biệt, thuế giá trị gia tăng, thuế thu nhập doanh nghiệp</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1.1</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xml:space="preserve">Thu từ khu vực kinh tế </w:t>
            </w:r>
            <w:r>
              <w:rPr>
                <w:rFonts w:eastAsia="Times New Roman"/>
                <w:color w:val="000000"/>
                <w:sz w:val="26"/>
                <w:szCs w:val="26"/>
              </w:rPr>
              <w:t>nhà nước</w:t>
            </w:r>
            <w:r w:rsidRPr="00590A8B">
              <w:rPr>
                <w:rFonts w:eastAsia="Times New Roman"/>
                <w:color w:val="000000"/>
                <w:sz w:val="26"/>
                <w:szCs w:val="26"/>
              </w:rPr>
              <w:t xml:space="preserve"> và khu vực kinh tế có vốn đầu tư nước ngoài</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36%</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1.2</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từ khu vực kinh tế dân doanh</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a</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Pr>
                <w:rFonts w:eastAsia="Times New Roman"/>
                <w:color w:val="000000"/>
                <w:sz w:val="26"/>
                <w:szCs w:val="26"/>
              </w:rPr>
              <w:t>Các huyện, thị xã, thành phố (trừ thị xã Thuận An)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284"/>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tỉnh, huyện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36%</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36%</w:t>
            </w:r>
          </w:p>
        </w:tc>
      </w:tr>
      <w:tr w:rsidR="00692109" w:rsidRPr="00590A8B" w:rsidTr="00A32311">
        <w:trPr>
          <w:trHeight w:val="340"/>
          <w:tblHeader/>
        </w:trPr>
        <w:tc>
          <w:tcPr>
            <w:tcW w:w="385" w:type="pct"/>
            <w:shd w:val="clear" w:color="auto" w:fill="auto"/>
            <w:noWrap/>
            <w:hideMark/>
          </w:tcPr>
          <w:p w:rsidR="00692109" w:rsidRDefault="00692109" w:rsidP="00A32311">
            <w:pPr>
              <w:spacing w:before="0"/>
              <w:jc w:val="center"/>
              <w:rPr>
                <w:rFonts w:eastAsia="Times New Roman"/>
                <w:color w:val="000000"/>
                <w:sz w:val="26"/>
                <w:szCs w:val="26"/>
              </w:rPr>
            </w:pPr>
            <w:r>
              <w:rPr>
                <w:rFonts w:eastAsia="Times New Roman"/>
                <w:color w:val="000000"/>
                <w:sz w:val="26"/>
                <w:szCs w:val="26"/>
              </w:rPr>
              <w:t>b</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Pr>
                <w:rFonts w:eastAsia="Times New Roman"/>
                <w:color w:val="000000"/>
                <w:sz w:val="26"/>
                <w:szCs w:val="26"/>
              </w:rPr>
              <w:t>Thị xã Thuận An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tỉnh, huyện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5%</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3</w:t>
            </w:r>
            <w:r>
              <w:rPr>
                <w:rFonts w:eastAsia="Times New Roman"/>
                <w:color w:val="000000"/>
                <w:sz w:val="26"/>
                <w:szCs w:val="26"/>
              </w:rPr>
              <w:t>1</w:t>
            </w:r>
            <w:r w:rsidRPr="00590A8B">
              <w:rPr>
                <w:rFonts w:eastAsia="Times New Roman"/>
                <w:color w:val="000000"/>
                <w:sz w:val="26"/>
                <w:szCs w:val="26"/>
              </w:rPr>
              <w:t>%</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 Cấp xã quản lý</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5%</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3</w:t>
            </w:r>
            <w:r>
              <w:rPr>
                <w:rFonts w:eastAsia="Times New Roman"/>
                <w:color w:val="000000"/>
                <w:sz w:val="26"/>
                <w:szCs w:val="26"/>
              </w:rPr>
              <w:t>1</w:t>
            </w:r>
            <w:r w:rsidRPr="00590A8B">
              <w:rPr>
                <w:rFonts w:eastAsia="Times New Roman"/>
                <w:color w:val="000000"/>
                <w:sz w:val="26"/>
                <w:szCs w:val="26"/>
              </w:rPr>
              <w:t>%</w:t>
            </w: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2</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Thuế thu nhập cá nhân</w:t>
            </w:r>
            <w:r>
              <w:rPr>
                <w:rFonts w:eastAsia="Times New Roman"/>
                <w:color w:val="000000"/>
                <w:sz w:val="26"/>
                <w:szCs w:val="26"/>
              </w:rPr>
              <w:t xml:space="preserve"> (TNCN)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2.1</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Pr>
                <w:rFonts w:eastAsia="Times New Roman"/>
                <w:color w:val="000000"/>
                <w:sz w:val="26"/>
                <w:szCs w:val="26"/>
              </w:rPr>
              <w:t>Các huyện, thị xã, thành phố (trừ thị xã Thuận An)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3065" w:type="pct"/>
            <w:shd w:val="clear" w:color="auto" w:fill="auto"/>
            <w:hideMark/>
          </w:tcPr>
          <w:p w:rsidR="00692109" w:rsidRPr="000306E6" w:rsidRDefault="00692109" w:rsidP="00A32311">
            <w:pPr>
              <w:spacing w:before="0"/>
              <w:jc w:val="both"/>
              <w:rPr>
                <w:rFonts w:eastAsia="Times New Roman"/>
                <w:bCs/>
                <w:color w:val="000000"/>
                <w:sz w:val="26"/>
                <w:szCs w:val="26"/>
              </w:rPr>
            </w:pPr>
            <w:r>
              <w:rPr>
                <w:rFonts w:eastAsia="Times New Roman"/>
                <w:bCs/>
                <w:color w:val="000000"/>
                <w:sz w:val="26"/>
                <w:szCs w:val="26"/>
              </w:rPr>
              <w:t xml:space="preserve">- </w:t>
            </w:r>
            <w:r w:rsidRPr="000306E6">
              <w:rPr>
                <w:rFonts w:eastAsia="Times New Roman"/>
                <w:bCs/>
                <w:color w:val="000000"/>
                <w:sz w:val="26"/>
                <w:szCs w:val="26"/>
              </w:rPr>
              <w:t xml:space="preserve">Thuế TNCN do </w:t>
            </w:r>
            <w:r>
              <w:rPr>
                <w:rFonts w:eastAsia="Times New Roman"/>
                <w:bCs/>
                <w:color w:val="000000"/>
                <w:sz w:val="26"/>
                <w:szCs w:val="26"/>
              </w:rPr>
              <w:t>Trung ương</w:t>
            </w:r>
            <w:r w:rsidRPr="000306E6">
              <w:rPr>
                <w:rFonts w:eastAsia="Times New Roman"/>
                <w:bCs/>
                <w:color w:val="000000"/>
                <w:sz w:val="26"/>
                <w:szCs w:val="26"/>
              </w:rPr>
              <w:t xml:space="preserve"> và tỉnh quản lý</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color w:val="000000"/>
                <w:sz w:val="26"/>
                <w:szCs w:val="26"/>
              </w:rPr>
              <w:t>36%</w:t>
            </w: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3065" w:type="pct"/>
            <w:shd w:val="clear" w:color="auto" w:fill="auto"/>
            <w:hideMark/>
          </w:tcPr>
          <w:p w:rsidR="00692109" w:rsidRPr="000306E6" w:rsidRDefault="00692109" w:rsidP="00A32311">
            <w:pPr>
              <w:spacing w:before="0"/>
              <w:jc w:val="both"/>
              <w:rPr>
                <w:rFonts w:eastAsia="Times New Roman"/>
                <w:bCs/>
                <w:color w:val="000000"/>
                <w:sz w:val="26"/>
                <w:szCs w:val="26"/>
              </w:rPr>
            </w:pPr>
            <w:r>
              <w:rPr>
                <w:rFonts w:eastAsia="Times New Roman"/>
                <w:bCs/>
                <w:color w:val="000000"/>
                <w:sz w:val="26"/>
                <w:szCs w:val="26"/>
              </w:rPr>
              <w:t xml:space="preserve">- </w:t>
            </w:r>
            <w:r w:rsidRPr="000306E6">
              <w:rPr>
                <w:rFonts w:eastAsia="Times New Roman"/>
                <w:bCs/>
                <w:color w:val="000000"/>
                <w:sz w:val="26"/>
                <w:szCs w:val="26"/>
              </w:rPr>
              <w:t xml:space="preserve">Thuế TNCN do </w:t>
            </w:r>
            <w:r>
              <w:rPr>
                <w:rFonts w:eastAsia="Times New Roman"/>
                <w:bCs/>
                <w:color w:val="000000"/>
                <w:sz w:val="26"/>
                <w:szCs w:val="26"/>
              </w:rPr>
              <w:t>huyện</w:t>
            </w:r>
            <w:r w:rsidRPr="000306E6">
              <w:rPr>
                <w:rFonts w:eastAsia="Times New Roman"/>
                <w:bCs/>
                <w:color w:val="000000"/>
                <w:sz w:val="26"/>
                <w:szCs w:val="26"/>
              </w:rPr>
              <w:t xml:space="preserve"> trực tiếp quản lý</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color w:val="000000"/>
                <w:sz w:val="26"/>
                <w:szCs w:val="26"/>
              </w:rPr>
              <w:t>36%</w:t>
            </w: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2.2</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Pr>
                <w:rFonts w:eastAsia="Times New Roman"/>
                <w:color w:val="000000"/>
                <w:sz w:val="26"/>
                <w:szCs w:val="26"/>
              </w:rPr>
              <w:t>Thị xã Thuận An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3065" w:type="pct"/>
            <w:shd w:val="clear" w:color="auto" w:fill="auto"/>
            <w:hideMark/>
          </w:tcPr>
          <w:p w:rsidR="00692109" w:rsidRPr="000306E6" w:rsidRDefault="00692109" w:rsidP="00A32311">
            <w:pPr>
              <w:spacing w:before="0"/>
              <w:jc w:val="both"/>
              <w:rPr>
                <w:rFonts w:eastAsia="Times New Roman"/>
                <w:bCs/>
                <w:color w:val="000000"/>
                <w:sz w:val="26"/>
                <w:szCs w:val="26"/>
              </w:rPr>
            </w:pPr>
            <w:r>
              <w:rPr>
                <w:rFonts w:eastAsia="Times New Roman"/>
                <w:bCs/>
                <w:color w:val="000000"/>
                <w:sz w:val="26"/>
                <w:szCs w:val="26"/>
              </w:rPr>
              <w:t xml:space="preserve">- </w:t>
            </w:r>
            <w:r w:rsidRPr="000306E6">
              <w:rPr>
                <w:rFonts w:eastAsia="Times New Roman"/>
                <w:bCs/>
                <w:color w:val="000000"/>
                <w:sz w:val="26"/>
                <w:szCs w:val="26"/>
              </w:rPr>
              <w:t xml:space="preserve">Thuế TNCN do </w:t>
            </w:r>
            <w:r>
              <w:rPr>
                <w:rFonts w:eastAsia="Times New Roman"/>
                <w:bCs/>
                <w:color w:val="000000"/>
                <w:sz w:val="26"/>
                <w:szCs w:val="26"/>
              </w:rPr>
              <w:t>Trung ương</w:t>
            </w:r>
            <w:r w:rsidRPr="000306E6">
              <w:rPr>
                <w:rFonts w:eastAsia="Times New Roman"/>
                <w:bCs/>
                <w:color w:val="000000"/>
                <w:sz w:val="26"/>
                <w:szCs w:val="26"/>
              </w:rPr>
              <w:t xml:space="preserve"> và tỉnh quản lý</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color w:val="000000"/>
                <w:sz w:val="26"/>
                <w:szCs w:val="26"/>
              </w:rPr>
              <w:t>3</w:t>
            </w:r>
            <w:r>
              <w:rPr>
                <w:rFonts w:eastAsia="Times New Roman"/>
                <w:color w:val="000000"/>
                <w:sz w:val="26"/>
                <w:szCs w:val="26"/>
              </w:rPr>
              <w:t>6</w:t>
            </w:r>
            <w:r w:rsidRPr="00590A8B">
              <w:rPr>
                <w:rFonts w:eastAsia="Times New Roman"/>
                <w:color w:val="000000"/>
                <w:sz w:val="26"/>
                <w:szCs w:val="26"/>
              </w:rPr>
              <w:t>%</w:t>
            </w: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340"/>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3065" w:type="pct"/>
            <w:shd w:val="clear" w:color="auto" w:fill="auto"/>
            <w:hideMark/>
          </w:tcPr>
          <w:p w:rsidR="00692109" w:rsidRPr="000306E6" w:rsidRDefault="00692109" w:rsidP="00A32311">
            <w:pPr>
              <w:spacing w:before="0"/>
              <w:jc w:val="both"/>
              <w:rPr>
                <w:rFonts w:eastAsia="Times New Roman"/>
                <w:bCs/>
                <w:color w:val="000000"/>
                <w:sz w:val="26"/>
                <w:szCs w:val="26"/>
              </w:rPr>
            </w:pPr>
            <w:r>
              <w:rPr>
                <w:rFonts w:eastAsia="Times New Roman"/>
                <w:bCs/>
                <w:color w:val="000000"/>
                <w:sz w:val="26"/>
                <w:szCs w:val="26"/>
              </w:rPr>
              <w:t xml:space="preserve">- </w:t>
            </w:r>
            <w:r w:rsidRPr="000306E6">
              <w:rPr>
                <w:rFonts w:eastAsia="Times New Roman"/>
                <w:bCs/>
                <w:color w:val="000000"/>
                <w:sz w:val="26"/>
                <w:szCs w:val="26"/>
              </w:rPr>
              <w:t xml:space="preserve">Thuế TNCN do </w:t>
            </w:r>
            <w:r>
              <w:rPr>
                <w:rFonts w:eastAsia="Times New Roman"/>
                <w:bCs/>
                <w:color w:val="000000"/>
                <w:sz w:val="26"/>
                <w:szCs w:val="26"/>
              </w:rPr>
              <w:t xml:space="preserve">thị xã </w:t>
            </w:r>
            <w:r w:rsidRPr="000306E6">
              <w:rPr>
                <w:rFonts w:eastAsia="Times New Roman"/>
                <w:bCs/>
                <w:color w:val="000000"/>
                <w:sz w:val="26"/>
                <w:szCs w:val="26"/>
              </w:rPr>
              <w:t>trực tiếp quản lý</w:t>
            </w:r>
          </w:p>
        </w:tc>
        <w:tc>
          <w:tcPr>
            <w:tcW w:w="587" w:type="pct"/>
            <w:shd w:val="clear" w:color="auto" w:fill="auto"/>
            <w:noWrap/>
            <w:hideMark/>
          </w:tcPr>
          <w:p w:rsidR="00692109" w:rsidRPr="00681A75" w:rsidRDefault="00692109" w:rsidP="00A32311">
            <w:pPr>
              <w:spacing w:before="0"/>
              <w:jc w:val="center"/>
              <w:rPr>
                <w:rFonts w:eastAsia="Times New Roman"/>
                <w:bCs/>
                <w:color w:val="000000"/>
                <w:sz w:val="26"/>
                <w:szCs w:val="26"/>
              </w:rPr>
            </w:pPr>
            <w:r w:rsidRPr="00681A75">
              <w:rPr>
                <w:rFonts w:eastAsia="Times New Roman"/>
                <w:bCs/>
                <w:color w:val="000000"/>
                <w:sz w:val="26"/>
                <w:szCs w:val="26"/>
              </w:rPr>
              <w:t>5%</w:t>
            </w: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color w:val="000000"/>
                <w:sz w:val="26"/>
                <w:szCs w:val="26"/>
              </w:rPr>
              <w:t>3</w:t>
            </w:r>
            <w:r>
              <w:rPr>
                <w:rFonts w:eastAsia="Times New Roman"/>
                <w:color w:val="000000"/>
                <w:sz w:val="26"/>
                <w:szCs w:val="26"/>
              </w:rPr>
              <w:t>1</w:t>
            </w:r>
            <w:r w:rsidRPr="00590A8B">
              <w:rPr>
                <w:rFonts w:eastAsia="Times New Roman"/>
                <w:color w:val="000000"/>
                <w:sz w:val="26"/>
                <w:szCs w:val="26"/>
              </w:rPr>
              <w:t>%</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Pr>
                <w:rFonts w:eastAsia="Times New Roman"/>
                <w:color w:val="000000"/>
                <w:sz w:val="26"/>
                <w:szCs w:val="26"/>
              </w:rPr>
              <w:t>3</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Thuế bảo vệ môi trường thu từ hàng hóa sản xuất trong nước</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36%</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III</w:t>
            </w:r>
          </w:p>
        </w:tc>
        <w:tc>
          <w:tcPr>
            <w:tcW w:w="3065" w:type="pct"/>
            <w:shd w:val="clear" w:color="auto" w:fill="auto"/>
            <w:hideMark/>
          </w:tcPr>
          <w:p w:rsidR="00692109" w:rsidRPr="00590A8B" w:rsidRDefault="00692109" w:rsidP="00A32311">
            <w:pPr>
              <w:spacing w:before="0"/>
              <w:jc w:val="both"/>
              <w:rPr>
                <w:rFonts w:eastAsia="Times New Roman"/>
                <w:b/>
                <w:bCs/>
                <w:color w:val="000000"/>
                <w:sz w:val="26"/>
                <w:szCs w:val="26"/>
              </w:rPr>
            </w:pPr>
            <w:r w:rsidRPr="00590A8B">
              <w:rPr>
                <w:rFonts w:eastAsia="Times New Roman"/>
                <w:b/>
                <w:bCs/>
                <w:color w:val="000000"/>
                <w:sz w:val="26"/>
                <w:szCs w:val="26"/>
              </w:rPr>
              <w:t>Thu bổ sung cân đối ngân sách, bổ sung có mục tiêu từ ngân sách cấp trên</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1</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bổ sung cân đối ngân sách</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x</w:t>
            </w:r>
            <w:r>
              <w:rPr>
                <w:rStyle w:val="FootnoteReference"/>
                <w:rFonts w:eastAsia="Times New Roman"/>
                <w:color w:val="000000"/>
                <w:sz w:val="26"/>
                <w:szCs w:val="26"/>
              </w:rPr>
              <w:footnoteReference w:id="3"/>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x</w:t>
            </w:r>
          </w:p>
        </w:tc>
      </w:tr>
      <w:tr w:rsidR="00692109" w:rsidRPr="00590A8B" w:rsidTr="00A32311">
        <w:trPr>
          <w:trHeight w:val="330"/>
          <w:tblHeader/>
        </w:trPr>
        <w:tc>
          <w:tcPr>
            <w:tcW w:w="38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2</w:t>
            </w:r>
          </w:p>
        </w:tc>
        <w:tc>
          <w:tcPr>
            <w:tcW w:w="3065" w:type="pct"/>
            <w:shd w:val="clear" w:color="auto" w:fill="auto"/>
            <w:hideMark/>
          </w:tcPr>
          <w:p w:rsidR="00692109" w:rsidRPr="00590A8B" w:rsidRDefault="00692109" w:rsidP="00A32311">
            <w:pPr>
              <w:spacing w:before="0"/>
              <w:jc w:val="both"/>
              <w:rPr>
                <w:rFonts w:eastAsia="Times New Roman"/>
                <w:color w:val="000000"/>
                <w:sz w:val="26"/>
                <w:szCs w:val="26"/>
              </w:rPr>
            </w:pPr>
            <w:r w:rsidRPr="00590A8B">
              <w:rPr>
                <w:rFonts w:eastAsia="Times New Roman"/>
                <w:color w:val="000000"/>
                <w:sz w:val="26"/>
                <w:szCs w:val="26"/>
              </w:rPr>
              <w:t>Thu bổ sung có mục tiêu từ ngân sách cấp trên</w:t>
            </w:r>
          </w:p>
        </w:tc>
        <w:tc>
          <w:tcPr>
            <w:tcW w:w="587"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x</w:t>
            </w:r>
          </w:p>
        </w:tc>
        <w:tc>
          <w:tcPr>
            <w:tcW w:w="515"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x</w:t>
            </w:r>
          </w:p>
        </w:tc>
        <w:tc>
          <w:tcPr>
            <w:tcW w:w="448" w:type="pct"/>
            <w:shd w:val="clear" w:color="auto" w:fill="auto"/>
            <w:noWrap/>
            <w:hideMark/>
          </w:tcPr>
          <w:p w:rsidR="00692109" w:rsidRPr="00590A8B" w:rsidRDefault="00692109" w:rsidP="00A32311">
            <w:pPr>
              <w:spacing w:before="0"/>
              <w:jc w:val="center"/>
              <w:rPr>
                <w:rFonts w:eastAsia="Times New Roman"/>
                <w:color w:val="000000"/>
                <w:sz w:val="26"/>
                <w:szCs w:val="26"/>
              </w:rPr>
            </w:pPr>
            <w:r w:rsidRPr="00590A8B">
              <w:rPr>
                <w:rFonts w:eastAsia="Times New Roman"/>
                <w:color w:val="000000"/>
                <w:sz w:val="26"/>
                <w:szCs w:val="26"/>
              </w:rPr>
              <w:t>x</w:t>
            </w:r>
          </w:p>
        </w:tc>
      </w:tr>
      <w:tr w:rsidR="00692109" w:rsidRPr="00590A8B" w:rsidTr="00A32311">
        <w:trPr>
          <w:trHeight w:val="567"/>
          <w:tblHeader/>
        </w:trPr>
        <w:tc>
          <w:tcPr>
            <w:tcW w:w="38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IV</w:t>
            </w:r>
          </w:p>
        </w:tc>
        <w:tc>
          <w:tcPr>
            <w:tcW w:w="3065" w:type="pct"/>
            <w:shd w:val="clear" w:color="auto" w:fill="auto"/>
            <w:hideMark/>
          </w:tcPr>
          <w:p w:rsidR="00692109" w:rsidRPr="00590A8B" w:rsidRDefault="00692109" w:rsidP="00A32311">
            <w:pPr>
              <w:spacing w:before="0"/>
              <w:jc w:val="both"/>
              <w:rPr>
                <w:rFonts w:eastAsia="Times New Roman"/>
                <w:b/>
                <w:bCs/>
                <w:color w:val="000000"/>
                <w:sz w:val="26"/>
                <w:szCs w:val="26"/>
              </w:rPr>
            </w:pPr>
            <w:r w:rsidRPr="00590A8B">
              <w:rPr>
                <w:rFonts w:eastAsia="Times New Roman"/>
                <w:b/>
                <w:bCs/>
                <w:color w:val="000000"/>
                <w:sz w:val="26"/>
                <w:szCs w:val="26"/>
              </w:rPr>
              <w:t>Thu chuyển nguồn của ngân sách địa phương từ năm trước chuyển sang</w:t>
            </w:r>
          </w:p>
        </w:tc>
        <w:tc>
          <w:tcPr>
            <w:tcW w:w="587"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x</w:t>
            </w:r>
          </w:p>
        </w:tc>
        <w:tc>
          <w:tcPr>
            <w:tcW w:w="515"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x</w:t>
            </w:r>
          </w:p>
        </w:tc>
        <w:tc>
          <w:tcPr>
            <w:tcW w:w="448" w:type="pct"/>
            <w:shd w:val="clear" w:color="auto" w:fill="auto"/>
            <w:noWrap/>
            <w:hideMark/>
          </w:tcPr>
          <w:p w:rsidR="00692109" w:rsidRPr="00590A8B" w:rsidRDefault="00692109" w:rsidP="00A32311">
            <w:pPr>
              <w:spacing w:before="0"/>
              <w:jc w:val="center"/>
              <w:rPr>
                <w:rFonts w:eastAsia="Times New Roman"/>
                <w:b/>
                <w:bCs/>
                <w:color w:val="000000"/>
                <w:sz w:val="26"/>
                <w:szCs w:val="26"/>
              </w:rPr>
            </w:pPr>
            <w:r w:rsidRPr="00590A8B">
              <w:rPr>
                <w:rFonts w:eastAsia="Times New Roman"/>
                <w:b/>
                <w:bCs/>
                <w:color w:val="000000"/>
                <w:sz w:val="26"/>
                <w:szCs w:val="26"/>
              </w:rPr>
              <w:t>x</w:t>
            </w:r>
          </w:p>
        </w:tc>
      </w:tr>
    </w:tbl>
    <w:p w:rsidR="00CC3E81" w:rsidRDefault="00CC3E81" w:rsidP="00A23F91">
      <w:pPr>
        <w:spacing w:after="240"/>
        <w:ind w:firstLine="567"/>
        <w:jc w:val="both"/>
        <w:rPr>
          <w:b/>
        </w:rPr>
      </w:pPr>
    </w:p>
    <w:p w:rsidR="00CC3E81" w:rsidRDefault="00CC3E81" w:rsidP="00A23F91">
      <w:pPr>
        <w:spacing w:after="240"/>
        <w:ind w:firstLine="567"/>
        <w:jc w:val="both"/>
        <w:rPr>
          <w:b/>
        </w:rPr>
      </w:pPr>
    </w:p>
    <w:p w:rsidR="00CC3E81" w:rsidRDefault="00CC3E81" w:rsidP="00A23F91">
      <w:pPr>
        <w:spacing w:after="240"/>
        <w:ind w:firstLine="567"/>
        <w:jc w:val="both"/>
        <w:rPr>
          <w:b/>
        </w:rPr>
      </w:pPr>
    </w:p>
    <w:p w:rsidR="00787071" w:rsidRDefault="009B3EDD" w:rsidP="00A23F91">
      <w:pPr>
        <w:spacing w:after="240"/>
        <w:ind w:firstLine="567"/>
        <w:jc w:val="both"/>
        <w:rPr>
          <w:b/>
        </w:rPr>
      </w:pPr>
      <w:r>
        <w:rPr>
          <w:b/>
        </w:rPr>
        <w:lastRenderedPageBreak/>
        <w:t>II</w:t>
      </w:r>
      <w:r w:rsidR="00787071">
        <w:rPr>
          <w:b/>
        </w:rPr>
        <w:t>. Nhiệm vụ chi ngân sách của các cấp chính quyền đị</w:t>
      </w:r>
      <w:r w:rsidR="00CC3E81">
        <w:rPr>
          <w:b/>
        </w:rPr>
        <w:t>a phương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919"/>
        <w:gridCol w:w="887"/>
        <w:gridCol w:w="896"/>
        <w:gridCol w:w="878"/>
      </w:tblGrid>
      <w:tr w:rsidR="00787071" w:rsidRPr="00787071" w:rsidTr="00E3612F">
        <w:trPr>
          <w:trHeight w:val="660"/>
        </w:trPr>
        <w:tc>
          <w:tcPr>
            <w:tcW w:w="323"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STT</w:t>
            </w:r>
          </w:p>
        </w:tc>
        <w:tc>
          <w:tcPr>
            <w:tcW w:w="3200"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Nhiệm vụ chi</w:t>
            </w:r>
          </w:p>
        </w:tc>
        <w:tc>
          <w:tcPr>
            <w:tcW w:w="492" w:type="pct"/>
            <w:shd w:val="clear" w:color="auto" w:fill="auto"/>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Cấp tỉnh</w:t>
            </w:r>
          </w:p>
        </w:tc>
        <w:tc>
          <w:tcPr>
            <w:tcW w:w="492" w:type="pct"/>
            <w:shd w:val="clear" w:color="auto" w:fill="auto"/>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Cấp huyện</w:t>
            </w:r>
          </w:p>
        </w:tc>
        <w:tc>
          <w:tcPr>
            <w:tcW w:w="492" w:type="pct"/>
            <w:shd w:val="clear" w:color="auto" w:fill="auto"/>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Cấp xã</w:t>
            </w:r>
          </w:p>
        </w:tc>
      </w:tr>
      <w:tr w:rsidR="00787071" w:rsidRPr="00787071" w:rsidTr="00E3612F">
        <w:trPr>
          <w:trHeight w:val="330"/>
        </w:trPr>
        <w:tc>
          <w:tcPr>
            <w:tcW w:w="323" w:type="pct"/>
            <w:shd w:val="clear" w:color="auto" w:fill="auto"/>
            <w:noWrap/>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1</w:t>
            </w:r>
          </w:p>
        </w:tc>
        <w:tc>
          <w:tcPr>
            <w:tcW w:w="3200" w:type="pct"/>
            <w:shd w:val="clear" w:color="auto" w:fill="auto"/>
            <w:vAlign w:val="bottom"/>
            <w:hideMark/>
          </w:tcPr>
          <w:p w:rsidR="00787071" w:rsidRPr="00787071" w:rsidRDefault="00787071" w:rsidP="00787071">
            <w:pPr>
              <w:spacing w:before="0"/>
              <w:rPr>
                <w:rFonts w:eastAsia="Times New Roman"/>
                <w:b/>
                <w:bCs/>
                <w:color w:val="000000"/>
                <w:sz w:val="26"/>
                <w:szCs w:val="26"/>
              </w:rPr>
            </w:pPr>
            <w:r w:rsidRPr="00787071">
              <w:rPr>
                <w:rFonts w:eastAsia="Times New Roman"/>
                <w:b/>
                <w:bCs/>
                <w:color w:val="000000"/>
                <w:sz w:val="26"/>
                <w:szCs w:val="26"/>
              </w:rPr>
              <w:t>Chi đầu tư phát triển</w:t>
            </w:r>
          </w:p>
        </w:tc>
        <w:tc>
          <w:tcPr>
            <w:tcW w:w="492" w:type="pct"/>
            <w:shd w:val="clear" w:color="auto" w:fill="auto"/>
            <w:noWrap/>
            <w:vAlign w:val="bottom"/>
            <w:hideMark/>
          </w:tcPr>
          <w:p w:rsidR="00787071" w:rsidRPr="00787071" w:rsidRDefault="00787071" w:rsidP="00787071">
            <w:pPr>
              <w:spacing w:before="0"/>
              <w:rPr>
                <w:rFonts w:eastAsia="Times New Roman"/>
                <w:b/>
                <w:bCs/>
                <w:color w:val="000000"/>
                <w:sz w:val="26"/>
                <w:szCs w:val="26"/>
              </w:rPr>
            </w:pPr>
            <w:r w:rsidRPr="00787071">
              <w:rPr>
                <w:rFonts w:eastAsia="Times New Roman"/>
                <w:b/>
                <w:bCs/>
                <w:color w:val="000000"/>
                <w:sz w:val="26"/>
                <w:szCs w:val="26"/>
              </w:rPr>
              <w:t> </w:t>
            </w:r>
          </w:p>
        </w:tc>
        <w:tc>
          <w:tcPr>
            <w:tcW w:w="492" w:type="pct"/>
            <w:shd w:val="clear" w:color="auto" w:fill="auto"/>
            <w:noWrap/>
            <w:vAlign w:val="bottom"/>
            <w:hideMark/>
          </w:tcPr>
          <w:p w:rsidR="00787071" w:rsidRPr="00787071" w:rsidRDefault="00787071" w:rsidP="00787071">
            <w:pPr>
              <w:spacing w:before="0"/>
              <w:rPr>
                <w:rFonts w:eastAsia="Times New Roman"/>
                <w:b/>
                <w:bCs/>
                <w:color w:val="000000"/>
                <w:sz w:val="26"/>
                <w:szCs w:val="26"/>
              </w:rPr>
            </w:pPr>
            <w:r w:rsidRPr="00787071">
              <w:rPr>
                <w:rFonts w:eastAsia="Times New Roman"/>
                <w:b/>
                <w:bCs/>
                <w:color w:val="000000"/>
                <w:sz w:val="26"/>
                <w:szCs w:val="26"/>
              </w:rPr>
              <w:t> </w:t>
            </w:r>
          </w:p>
        </w:tc>
        <w:tc>
          <w:tcPr>
            <w:tcW w:w="492" w:type="pct"/>
            <w:shd w:val="clear" w:color="auto" w:fill="auto"/>
            <w:noWrap/>
            <w:vAlign w:val="bottom"/>
            <w:hideMark/>
          </w:tcPr>
          <w:p w:rsidR="00787071" w:rsidRPr="00787071" w:rsidRDefault="00787071" w:rsidP="00787071">
            <w:pPr>
              <w:spacing w:before="0"/>
              <w:rPr>
                <w:rFonts w:eastAsia="Times New Roman"/>
                <w:b/>
                <w:bCs/>
                <w:color w:val="000000"/>
                <w:sz w:val="26"/>
                <w:szCs w:val="26"/>
              </w:rPr>
            </w:pPr>
            <w:r w:rsidRPr="00787071">
              <w:rPr>
                <w:rFonts w:eastAsia="Times New Roman"/>
                <w:b/>
                <w:bCs/>
                <w:color w:val="000000"/>
                <w:sz w:val="26"/>
                <w:szCs w:val="26"/>
              </w:rPr>
              <w:t> </w:t>
            </w:r>
          </w:p>
        </w:tc>
      </w:tr>
      <w:tr w:rsidR="00787071" w:rsidRPr="00787071" w:rsidTr="00EC6D0F">
        <w:trPr>
          <w:trHeight w:val="834"/>
        </w:trPr>
        <w:tc>
          <w:tcPr>
            <w:tcW w:w="323" w:type="pct"/>
            <w:shd w:val="clear" w:color="auto" w:fill="auto"/>
            <w:noWrap/>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1.1</w:t>
            </w:r>
          </w:p>
        </w:tc>
        <w:tc>
          <w:tcPr>
            <w:tcW w:w="3200" w:type="pct"/>
            <w:shd w:val="clear" w:color="auto" w:fill="auto"/>
            <w:hideMark/>
          </w:tcPr>
          <w:p w:rsidR="00787071" w:rsidRPr="00787071" w:rsidRDefault="00787071" w:rsidP="00E12F65">
            <w:pPr>
              <w:spacing w:before="0"/>
              <w:jc w:val="both"/>
              <w:rPr>
                <w:rFonts w:eastAsia="Times New Roman"/>
                <w:color w:val="000000"/>
                <w:sz w:val="26"/>
                <w:szCs w:val="26"/>
              </w:rPr>
            </w:pPr>
            <w:r w:rsidRPr="00787071">
              <w:rPr>
                <w:rFonts w:eastAsia="Times New Roman"/>
                <w:color w:val="000000"/>
                <w:sz w:val="26"/>
                <w:szCs w:val="26"/>
              </w:rPr>
              <w:t xml:space="preserve">Đầu tư cho các dự án do địa phương quản lý theo phân cấp đầu tư </w:t>
            </w:r>
            <w:r w:rsidR="00692109">
              <w:rPr>
                <w:rFonts w:eastAsia="Times New Roman"/>
                <w:color w:val="000000"/>
                <w:sz w:val="26"/>
                <w:szCs w:val="26"/>
              </w:rPr>
              <w:t>xây dựng cơ bản</w:t>
            </w:r>
            <w:r w:rsidRPr="00787071">
              <w:rPr>
                <w:rFonts w:eastAsia="Times New Roman"/>
                <w:color w:val="000000"/>
                <w:sz w:val="26"/>
                <w:szCs w:val="26"/>
              </w:rPr>
              <w:t xml:space="preserve"> hiện hành của tỉnh và phân chia theo các lĩnh vực được quy định tại Khoản 2</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x</w:t>
            </w:r>
          </w:p>
        </w:tc>
      </w:tr>
      <w:tr w:rsidR="00787071" w:rsidRPr="00787071" w:rsidTr="00E3612F">
        <w:trPr>
          <w:trHeight w:val="1035"/>
        </w:trPr>
        <w:tc>
          <w:tcPr>
            <w:tcW w:w="323" w:type="pct"/>
            <w:shd w:val="clear" w:color="auto" w:fill="auto"/>
            <w:noWrap/>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3200" w:type="pct"/>
            <w:shd w:val="clear" w:color="auto" w:fill="auto"/>
            <w:hideMark/>
          </w:tcPr>
          <w:p w:rsidR="00787071" w:rsidRPr="00787071" w:rsidRDefault="00787071" w:rsidP="00E12F65">
            <w:pPr>
              <w:spacing w:before="0"/>
              <w:jc w:val="both"/>
              <w:rPr>
                <w:rFonts w:eastAsia="Times New Roman"/>
                <w:bCs/>
                <w:i/>
                <w:iCs/>
                <w:color w:val="000000"/>
                <w:sz w:val="26"/>
                <w:szCs w:val="26"/>
              </w:rPr>
            </w:pPr>
            <w:r w:rsidRPr="00787071">
              <w:rPr>
                <w:rFonts w:eastAsia="Times New Roman"/>
                <w:bCs/>
                <w:i/>
                <w:iCs/>
                <w:color w:val="000000"/>
                <w:sz w:val="26"/>
                <w:szCs w:val="26"/>
              </w:rPr>
              <w:t>Hàng năm các xã</w:t>
            </w:r>
            <w:r w:rsidR="00D31C9E">
              <w:rPr>
                <w:rFonts w:eastAsia="Times New Roman"/>
                <w:bCs/>
                <w:i/>
                <w:iCs/>
                <w:color w:val="000000"/>
                <w:sz w:val="26"/>
                <w:szCs w:val="26"/>
              </w:rPr>
              <w:t xml:space="preserve"> (không bao gồm phường, thị trấn)</w:t>
            </w:r>
            <w:r w:rsidRPr="00787071">
              <w:rPr>
                <w:rFonts w:eastAsia="Times New Roman"/>
                <w:bCs/>
                <w:i/>
                <w:iCs/>
                <w:color w:val="000000"/>
                <w:sz w:val="26"/>
                <w:szCs w:val="26"/>
              </w:rPr>
              <w:t xml:space="preserve"> được bố trí kinh phí hỗ trợ để đầu tư cho các dự án thuộc Chương trình MTQG xây dựng nông thôn mới giai đoạn 2016-2020</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x</w:t>
            </w:r>
          </w:p>
        </w:tc>
      </w:tr>
      <w:tr w:rsidR="00787071" w:rsidRPr="00787071" w:rsidTr="00E3612F">
        <w:trPr>
          <w:trHeight w:val="990"/>
        </w:trPr>
        <w:tc>
          <w:tcPr>
            <w:tcW w:w="323" w:type="pct"/>
            <w:shd w:val="clear" w:color="auto" w:fill="auto"/>
            <w:noWrap/>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1.2</w:t>
            </w:r>
          </w:p>
        </w:tc>
        <w:tc>
          <w:tcPr>
            <w:tcW w:w="3200" w:type="pct"/>
            <w:shd w:val="clear" w:color="auto" w:fill="auto"/>
            <w:vAlign w:val="bottom"/>
            <w:hideMark/>
          </w:tcPr>
          <w:p w:rsidR="00787071" w:rsidRPr="00787071" w:rsidRDefault="00787071" w:rsidP="00787071">
            <w:pPr>
              <w:spacing w:before="0"/>
              <w:jc w:val="both"/>
              <w:rPr>
                <w:rFonts w:eastAsia="Times New Roman"/>
                <w:color w:val="000000"/>
                <w:sz w:val="26"/>
                <w:szCs w:val="26"/>
              </w:rPr>
            </w:pPr>
            <w:r w:rsidRPr="00787071">
              <w:rPr>
                <w:rFonts w:eastAsia="Times New Roman"/>
                <w:color w:val="000000"/>
                <w:sz w:val="26"/>
                <w:szCs w:val="26"/>
              </w:rPr>
              <w:t>Đầu tư và hỗ trợ vốn cho các doanh nghiệp cung cấp sản phẩm, dịch vụ công ích do Nhà nước đặt hàng, các tổ chức kinh tế, các tổ chức tài chính của địa phương theo quy định của pháp luật</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r>
      <w:tr w:rsidR="00787071" w:rsidRPr="00787071" w:rsidTr="00E3612F">
        <w:trPr>
          <w:trHeight w:val="330"/>
        </w:trPr>
        <w:tc>
          <w:tcPr>
            <w:tcW w:w="323" w:type="pct"/>
            <w:shd w:val="clear" w:color="auto" w:fill="auto"/>
            <w:noWrap/>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1.3</w:t>
            </w:r>
          </w:p>
        </w:tc>
        <w:tc>
          <w:tcPr>
            <w:tcW w:w="3200" w:type="pct"/>
            <w:shd w:val="clear" w:color="auto" w:fill="auto"/>
            <w:vAlign w:val="bottom"/>
            <w:hideMark/>
          </w:tcPr>
          <w:p w:rsidR="00787071" w:rsidRPr="00787071" w:rsidRDefault="00787071" w:rsidP="00787071">
            <w:pPr>
              <w:spacing w:before="0"/>
              <w:jc w:val="both"/>
              <w:rPr>
                <w:rFonts w:eastAsia="Times New Roman"/>
                <w:color w:val="000000"/>
                <w:sz w:val="26"/>
                <w:szCs w:val="26"/>
              </w:rPr>
            </w:pPr>
            <w:r w:rsidRPr="00787071">
              <w:rPr>
                <w:rFonts w:eastAsia="Times New Roman"/>
                <w:color w:val="000000"/>
                <w:sz w:val="26"/>
                <w:szCs w:val="26"/>
              </w:rPr>
              <w:t>Các khoản chi khác theo quy định của pháp luật</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r>
      <w:tr w:rsidR="00787071" w:rsidRPr="00787071" w:rsidTr="00E3612F">
        <w:trPr>
          <w:trHeight w:val="1320"/>
        </w:trPr>
        <w:tc>
          <w:tcPr>
            <w:tcW w:w="323" w:type="pct"/>
            <w:shd w:val="clear" w:color="auto" w:fill="auto"/>
            <w:noWrap/>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2</w:t>
            </w:r>
          </w:p>
        </w:tc>
        <w:tc>
          <w:tcPr>
            <w:tcW w:w="3200" w:type="pct"/>
            <w:shd w:val="clear" w:color="auto" w:fill="auto"/>
            <w:vAlign w:val="bottom"/>
            <w:hideMark/>
          </w:tcPr>
          <w:p w:rsidR="00787071" w:rsidRPr="00787071" w:rsidRDefault="00787071" w:rsidP="00787071">
            <w:pPr>
              <w:spacing w:before="0"/>
              <w:jc w:val="both"/>
              <w:rPr>
                <w:rFonts w:eastAsia="Times New Roman"/>
                <w:b/>
                <w:bCs/>
                <w:color w:val="000000"/>
                <w:sz w:val="26"/>
                <w:szCs w:val="26"/>
              </w:rPr>
            </w:pPr>
            <w:r w:rsidRPr="00787071">
              <w:rPr>
                <w:rFonts w:eastAsia="Times New Roman"/>
                <w:b/>
                <w:bCs/>
                <w:color w:val="000000"/>
                <w:sz w:val="26"/>
                <w:szCs w:val="26"/>
              </w:rPr>
              <w:t>Chi thường xuyên của các cơ quan, đơn vị ở từng cấp (tỉnh, huyện, xã) được phân cấp trong các lĩnh vực được quy định tại Khoản 2, Điều 38, Luật NSNN và theo phân cấp quản lý của tỉnh, trong đó lưu ý một số lĩnh vực sau:</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r>
      <w:tr w:rsidR="00787071" w:rsidRPr="00787071" w:rsidTr="00E3612F">
        <w:trPr>
          <w:trHeight w:val="1020"/>
        </w:trPr>
        <w:tc>
          <w:tcPr>
            <w:tcW w:w="323" w:type="pct"/>
            <w:shd w:val="clear" w:color="auto" w:fill="auto"/>
            <w:noWrap/>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3200" w:type="pct"/>
            <w:shd w:val="clear" w:color="auto" w:fill="auto"/>
            <w:vAlign w:val="bottom"/>
            <w:hideMark/>
          </w:tcPr>
          <w:p w:rsidR="00787071" w:rsidRPr="00787071" w:rsidRDefault="00787071" w:rsidP="00787071">
            <w:pPr>
              <w:spacing w:before="0"/>
              <w:jc w:val="both"/>
              <w:rPr>
                <w:rFonts w:eastAsia="Times New Roman"/>
                <w:color w:val="000000"/>
                <w:sz w:val="26"/>
                <w:szCs w:val="26"/>
              </w:rPr>
            </w:pPr>
            <w:r w:rsidRPr="00787071">
              <w:rPr>
                <w:rFonts w:eastAsia="Times New Roman"/>
                <w:color w:val="000000"/>
                <w:sz w:val="26"/>
                <w:szCs w:val="26"/>
              </w:rPr>
              <w:t xml:space="preserve">Sự nghiệp giáo dục - đào tạo và dạy nghề: nhiệm vụ chi cho các </w:t>
            </w:r>
            <w:r w:rsidRPr="00787071">
              <w:rPr>
                <w:rFonts w:eastAsia="Times New Roman"/>
                <w:bCs/>
                <w:iCs/>
                <w:color w:val="000000"/>
                <w:sz w:val="26"/>
                <w:szCs w:val="26"/>
              </w:rPr>
              <w:t>Trường Trung học phổ thông và Trung tâm Giáo dục thường xuyên cấp huyện được chuyển về cho ngân sách tỉnh</w:t>
            </w:r>
          </w:p>
        </w:tc>
        <w:tc>
          <w:tcPr>
            <w:tcW w:w="492" w:type="pct"/>
            <w:shd w:val="clear" w:color="auto" w:fill="auto"/>
            <w:noWrap/>
            <w:vAlign w:val="center"/>
            <w:hideMark/>
          </w:tcPr>
          <w:p w:rsidR="00787071" w:rsidRPr="00787071" w:rsidRDefault="00D92D00" w:rsidP="00787071">
            <w:pPr>
              <w:spacing w:before="0"/>
              <w:jc w:val="center"/>
              <w:rPr>
                <w:rFonts w:eastAsia="Times New Roman"/>
                <w:color w:val="000000"/>
                <w:sz w:val="26"/>
                <w:szCs w:val="26"/>
              </w:rPr>
            </w:pPr>
            <w:r>
              <w:rPr>
                <w:rFonts w:eastAsia="Times New Roman"/>
                <w:color w:val="000000"/>
                <w:sz w:val="26"/>
                <w:szCs w:val="26"/>
              </w:rPr>
              <w:t>x</w:t>
            </w:r>
            <w:r w:rsidR="00787071" w:rsidRPr="00787071">
              <w:rPr>
                <w:rFonts w:eastAsia="Times New Roman"/>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r>
      <w:tr w:rsidR="00787071" w:rsidRPr="00787071" w:rsidTr="00E3612F">
        <w:trPr>
          <w:trHeight w:val="690"/>
        </w:trPr>
        <w:tc>
          <w:tcPr>
            <w:tcW w:w="323" w:type="pct"/>
            <w:shd w:val="clear" w:color="auto" w:fill="auto"/>
            <w:noWrap/>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3200" w:type="pct"/>
            <w:shd w:val="clear" w:color="auto" w:fill="auto"/>
            <w:vAlign w:val="bottom"/>
            <w:hideMark/>
          </w:tcPr>
          <w:p w:rsidR="00787071" w:rsidRPr="00787071" w:rsidRDefault="00787071" w:rsidP="00787071">
            <w:pPr>
              <w:spacing w:before="0"/>
              <w:jc w:val="both"/>
              <w:rPr>
                <w:rFonts w:eastAsia="Times New Roman"/>
                <w:color w:val="000000"/>
                <w:sz w:val="26"/>
                <w:szCs w:val="26"/>
              </w:rPr>
            </w:pPr>
            <w:r w:rsidRPr="00787071">
              <w:rPr>
                <w:rFonts w:eastAsia="Times New Roman"/>
                <w:color w:val="000000"/>
                <w:sz w:val="26"/>
                <w:szCs w:val="26"/>
              </w:rPr>
              <w:t xml:space="preserve">Sự nghiệp khoa học - công nghệ: cấp huyện và cấp xã </w:t>
            </w:r>
            <w:r w:rsidRPr="00787071">
              <w:rPr>
                <w:rFonts w:eastAsia="Times New Roman"/>
                <w:bCs/>
                <w:iCs/>
                <w:color w:val="000000"/>
                <w:sz w:val="26"/>
                <w:szCs w:val="26"/>
              </w:rPr>
              <w:t>không có nhiệm vụ chi nghiên cứu khoa học và công nghệ</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r w:rsidR="00D92D00">
              <w:rPr>
                <w:rFonts w:eastAsia="Times New Roman"/>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color w:val="000000"/>
                <w:sz w:val="26"/>
                <w:szCs w:val="26"/>
              </w:rPr>
            </w:pPr>
            <w:r w:rsidRPr="00787071">
              <w:rPr>
                <w:rFonts w:eastAsia="Times New Roman"/>
                <w:color w:val="000000"/>
                <w:sz w:val="26"/>
                <w:szCs w:val="26"/>
              </w:rPr>
              <w:t> </w:t>
            </w:r>
          </w:p>
        </w:tc>
      </w:tr>
      <w:tr w:rsidR="00787071" w:rsidRPr="00787071" w:rsidTr="00EC6D0F">
        <w:trPr>
          <w:trHeight w:val="567"/>
        </w:trPr>
        <w:tc>
          <w:tcPr>
            <w:tcW w:w="323" w:type="pct"/>
            <w:shd w:val="clear" w:color="auto" w:fill="auto"/>
            <w:noWrap/>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3</w:t>
            </w:r>
          </w:p>
        </w:tc>
        <w:tc>
          <w:tcPr>
            <w:tcW w:w="3200" w:type="pct"/>
            <w:shd w:val="clear" w:color="auto" w:fill="auto"/>
            <w:vAlign w:val="bottom"/>
            <w:hideMark/>
          </w:tcPr>
          <w:p w:rsidR="00787071" w:rsidRPr="00787071" w:rsidRDefault="00787071" w:rsidP="00787071">
            <w:pPr>
              <w:spacing w:before="0"/>
              <w:jc w:val="both"/>
              <w:rPr>
                <w:rFonts w:eastAsia="Times New Roman"/>
                <w:b/>
                <w:bCs/>
                <w:color w:val="000000"/>
                <w:sz w:val="26"/>
                <w:szCs w:val="26"/>
              </w:rPr>
            </w:pPr>
            <w:r w:rsidRPr="00787071">
              <w:rPr>
                <w:rFonts w:eastAsia="Times New Roman"/>
                <w:b/>
                <w:bCs/>
                <w:color w:val="000000"/>
                <w:sz w:val="26"/>
                <w:szCs w:val="26"/>
              </w:rPr>
              <w:t>Chi trả nợ lãi các khoản do chính quyền địa phương vay</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 </w:t>
            </w:r>
          </w:p>
        </w:tc>
      </w:tr>
      <w:tr w:rsidR="00787071" w:rsidRPr="00787071" w:rsidTr="00DF42CC">
        <w:trPr>
          <w:trHeight w:val="340"/>
        </w:trPr>
        <w:tc>
          <w:tcPr>
            <w:tcW w:w="323" w:type="pct"/>
            <w:shd w:val="clear" w:color="auto" w:fill="auto"/>
            <w:noWrap/>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4</w:t>
            </w:r>
          </w:p>
        </w:tc>
        <w:tc>
          <w:tcPr>
            <w:tcW w:w="3200" w:type="pct"/>
            <w:shd w:val="clear" w:color="auto" w:fill="auto"/>
            <w:vAlign w:val="bottom"/>
            <w:hideMark/>
          </w:tcPr>
          <w:p w:rsidR="00787071" w:rsidRPr="00787071" w:rsidRDefault="00787071" w:rsidP="00787071">
            <w:pPr>
              <w:spacing w:before="0"/>
              <w:jc w:val="both"/>
              <w:rPr>
                <w:rFonts w:eastAsia="Times New Roman"/>
                <w:b/>
                <w:bCs/>
                <w:color w:val="000000"/>
                <w:sz w:val="26"/>
                <w:szCs w:val="26"/>
              </w:rPr>
            </w:pPr>
            <w:r w:rsidRPr="00787071">
              <w:rPr>
                <w:rFonts w:eastAsia="Times New Roman"/>
                <w:b/>
                <w:bCs/>
                <w:color w:val="000000"/>
                <w:sz w:val="26"/>
                <w:szCs w:val="26"/>
              </w:rPr>
              <w:t>Chi bổ sung quỹ dự trữ tài chính địa phương</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 </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 </w:t>
            </w:r>
          </w:p>
        </w:tc>
      </w:tr>
      <w:tr w:rsidR="00787071" w:rsidRPr="00787071" w:rsidTr="00EC6D0F">
        <w:trPr>
          <w:trHeight w:val="567"/>
        </w:trPr>
        <w:tc>
          <w:tcPr>
            <w:tcW w:w="323" w:type="pct"/>
            <w:shd w:val="clear" w:color="auto" w:fill="auto"/>
            <w:noWrap/>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5</w:t>
            </w:r>
          </w:p>
        </w:tc>
        <w:tc>
          <w:tcPr>
            <w:tcW w:w="3200" w:type="pct"/>
            <w:shd w:val="clear" w:color="auto" w:fill="auto"/>
            <w:vAlign w:val="bottom"/>
            <w:hideMark/>
          </w:tcPr>
          <w:p w:rsidR="00787071" w:rsidRPr="00787071" w:rsidRDefault="00787071" w:rsidP="00787071">
            <w:pPr>
              <w:spacing w:before="0"/>
              <w:jc w:val="both"/>
              <w:rPr>
                <w:rFonts w:eastAsia="Times New Roman"/>
                <w:b/>
                <w:bCs/>
                <w:color w:val="000000"/>
                <w:sz w:val="26"/>
                <w:szCs w:val="26"/>
              </w:rPr>
            </w:pPr>
            <w:r w:rsidRPr="00787071">
              <w:rPr>
                <w:rFonts w:eastAsia="Times New Roman"/>
                <w:b/>
                <w:bCs/>
                <w:color w:val="000000"/>
                <w:sz w:val="26"/>
                <w:szCs w:val="26"/>
              </w:rPr>
              <w:t>Chi chuyển nguồn sang năm sau của ngân sách địa phương</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r>
      <w:tr w:rsidR="00787071" w:rsidRPr="00787071" w:rsidTr="00EC6D0F">
        <w:trPr>
          <w:trHeight w:val="567"/>
        </w:trPr>
        <w:tc>
          <w:tcPr>
            <w:tcW w:w="323" w:type="pct"/>
            <w:shd w:val="clear" w:color="auto" w:fill="auto"/>
            <w:noWrap/>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6</w:t>
            </w:r>
          </w:p>
        </w:tc>
        <w:tc>
          <w:tcPr>
            <w:tcW w:w="3200" w:type="pct"/>
            <w:shd w:val="clear" w:color="auto" w:fill="auto"/>
            <w:vAlign w:val="bottom"/>
            <w:hideMark/>
          </w:tcPr>
          <w:p w:rsidR="00787071" w:rsidRPr="00787071" w:rsidRDefault="00787071" w:rsidP="00787071">
            <w:pPr>
              <w:spacing w:before="0"/>
              <w:jc w:val="both"/>
              <w:rPr>
                <w:rFonts w:eastAsia="Times New Roman"/>
                <w:b/>
                <w:bCs/>
                <w:color w:val="000000"/>
                <w:sz w:val="26"/>
                <w:szCs w:val="26"/>
              </w:rPr>
            </w:pPr>
            <w:r w:rsidRPr="00787071">
              <w:rPr>
                <w:rFonts w:eastAsia="Times New Roman"/>
                <w:b/>
                <w:bCs/>
                <w:color w:val="000000"/>
                <w:sz w:val="26"/>
                <w:szCs w:val="26"/>
              </w:rPr>
              <w:t>Chi bổ sung cân đối ngân sách, bổ sung có mục tiêu cho ngân sách cấp dưới</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 </w:t>
            </w:r>
          </w:p>
        </w:tc>
      </w:tr>
      <w:tr w:rsidR="00787071" w:rsidRPr="00787071" w:rsidTr="00EC6D0F">
        <w:trPr>
          <w:trHeight w:val="567"/>
        </w:trPr>
        <w:tc>
          <w:tcPr>
            <w:tcW w:w="323" w:type="pct"/>
            <w:shd w:val="clear" w:color="auto" w:fill="auto"/>
            <w:noWrap/>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7</w:t>
            </w:r>
          </w:p>
        </w:tc>
        <w:tc>
          <w:tcPr>
            <w:tcW w:w="3200" w:type="pct"/>
            <w:shd w:val="clear" w:color="auto" w:fill="auto"/>
            <w:vAlign w:val="bottom"/>
            <w:hideMark/>
          </w:tcPr>
          <w:p w:rsidR="00787071" w:rsidRPr="00787071" w:rsidRDefault="00787071" w:rsidP="00787071">
            <w:pPr>
              <w:spacing w:before="0"/>
              <w:jc w:val="both"/>
              <w:rPr>
                <w:rFonts w:eastAsia="Times New Roman"/>
                <w:b/>
                <w:bCs/>
                <w:color w:val="000000"/>
                <w:sz w:val="26"/>
                <w:szCs w:val="26"/>
              </w:rPr>
            </w:pPr>
            <w:r w:rsidRPr="00787071">
              <w:rPr>
                <w:rFonts w:eastAsia="Times New Roman"/>
                <w:b/>
                <w:bCs/>
                <w:color w:val="000000"/>
                <w:sz w:val="26"/>
                <w:szCs w:val="26"/>
              </w:rPr>
              <w:t>Chi hỗ trợ thực hiện một số nhiệm vụ quy định tại các điểm a, b và c, Khoản 9, Điều 9 của Luật NSNN</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x</w:t>
            </w:r>
          </w:p>
        </w:tc>
        <w:tc>
          <w:tcPr>
            <w:tcW w:w="492" w:type="pct"/>
            <w:shd w:val="clear" w:color="auto" w:fill="auto"/>
            <w:noWrap/>
            <w:vAlign w:val="center"/>
            <w:hideMark/>
          </w:tcPr>
          <w:p w:rsidR="00787071" w:rsidRPr="00787071" w:rsidRDefault="00787071" w:rsidP="00787071">
            <w:pPr>
              <w:spacing w:before="0"/>
              <w:jc w:val="center"/>
              <w:rPr>
                <w:rFonts w:eastAsia="Times New Roman"/>
                <w:b/>
                <w:bCs/>
                <w:color w:val="000000"/>
                <w:sz w:val="26"/>
                <w:szCs w:val="26"/>
              </w:rPr>
            </w:pPr>
            <w:r w:rsidRPr="00787071">
              <w:rPr>
                <w:rFonts w:eastAsia="Times New Roman"/>
                <w:b/>
                <w:bCs/>
                <w:color w:val="000000"/>
                <w:sz w:val="26"/>
                <w:szCs w:val="26"/>
              </w:rPr>
              <w:t> </w:t>
            </w:r>
          </w:p>
        </w:tc>
      </w:tr>
    </w:tbl>
    <w:p w:rsidR="00B832C0" w:rsidRDefault="00B832C0" w:rsidP="005421B4">
      <w:pPr>
        <w:spacing w:before="240"/>
        <w:ind w:firstLine="567"/>
        <w:jc w:val="both"/>
        <w:rPr>
          <w:sz w:val="26"/>
          <w:szCs w:val="26"/>
        </w:rPr>
      </w:pPr>
    </w:p>
    <w:sectPr w:rsidR="00B832C0" w:rsidSect="00460BE4">
      <w:footerReference w:type="default" r:id="rId8"/>
      <w:pgSz w:w="11907" w:h="16840" w:code="9"/>
      <w:pgMar w:top="1418" w:right="1134" w:bottom="1134" w:left="1701" w:header="72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FB" w:rsidRDefault="00BA72FB" w:rsidP="00AE7617">
      <w:pPr>
        <w:spacing w:before="0"/>
      </w:pPr>
      <w:r>
        <w:separator/>
      </w:r>
    </w:p>
  </w:endnote>
  <w:endnote w:type="continuationSeparator" w:id="0">
    <w:p w:rsidR="00BA72FB" w:rsidRDefault="00BA72FB" w:rsidP="00AE76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02190"/>
      <w:docPartObj>
        <w:docPartGallery w:val="Page Numbers (Bottom of Page)"/>
        <w:docPartUnique/>
      </w:docPartObj>
    </w:sdtPr>
    <w:sdtEndPr>
      <w:rPr>
        <w:sz w:val="22"/>
        <w:szCs w:val="22"/>
      </w:rPr>
    </w:sdtEndPr>
    <w:sdtContent>
      <w:p w:rsidR="008B4952" w:rsidRPr="00222FDD" w:rsidRDefault="00327861">
        <w:pPr>
          <w:pStyle w:val="Footer"/>
          <w:jc w:val="right"/>
          <w:rPr>
            <w:sz w:val="22"/>
            <w:szCs w:val="22"/>
          </w:rPr>
        </w:pPr>
        <w:r w:rsidRPr="00222FDD">
          <w:rPr>
            <w:sz w:val="22"/>
            <w:szCs w:val="22"/>
          </w:rPr>
          <w:fldChar w:fldCharType="begin"/>
        </w:r>
        <w:r w:rsidR="008B4952" w:rsidRPr="00222FDD">
          <w:rPr>
            <w:sz w:val="22"/>
            <w:szCs w:val="22"/>
          </w:rPr>
          <w:instrText xml:space="preserve"> PAGE   \* MERGEFORMAT </w:instrText>
        </w:r>
        <w:r w:rsidRPr="00222FDD">
          <w:rPr>
            <w:sz w:val="22"/>
            <w:szCs w:val="22"/>
          </w:rPr>
          <w:fldChar w:fldCharType="separate"/>
        </w:r>
        <w:r w:rsidR="00F54814">
          <w:rPr>
            <w:noProof/>
            <w:sz w:val="22"/>
            <w:szCs w:val="22"/>
          </w:rPr>
          <w:t>4</w:t>
        </w:r>
        <w:r w:rsidRPr="00222FDD">
          <w:rPr>
            <w:sz w:val="22"/>
            <w:szCs w:val="22"/>
          </w:rPr>
          <w:fldChar w:fldCharType="end"/>
        </w:r>
      </w:p>
    </w:sdtContent>
  </w:sdt>
  <w:p w:rsidR="008B4952" w:rsidRDefault="008B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FB" w:rsidRDefault="00BA72FB" w:rsidP="00AE7617">
      <w:pPr>
        <w:spacing w:before="0"/>
      </w:pPr>
      <w:r>
        <w:separator/>
      </w:r>
    </w:p>
  </w:footnote>
  <w:footnote w:type="continuationSeparator" w:id="0">
    <w:p w:rsidR="00BA72FB" w:rsidRDefault="00BA72FB" w:rsidP="00AE7617">
      <w:pPr>
        <w:spacing w:before="0"/>
      </w:pPr>
      <w:r>
        <w:continuationSeparator/>
      </w:r>
    </w:p>
  </w:footnote>
  <w:footnote w:id="1">
    <w:p w:rsidR="00692109" w:rsidRPr="00F2191E" w:rsidRDefault="00692109" w:rsidP="00692109">
      <w:pPr>
        <w:pStyle w:val="FootnoteText"/>
        <w:jc w:val="both"/>
        <w:rPr>
          <w:i/>
        </w:rPr>
      </w:pPr>
      <w:r w:rsidRPr="00F2191E">
        <w:rPr>
          <w:rStyle w:val="FootnoteReference"/>
          <w:i/>
        </w:rPr>
        <w:footnoteRef/>
      </w:r>
      <w:r w:rsidRPr="00F2191E">
        <w:rPr>
          <w:i/>
        </w:rPr>
        <w:t xml:space="preserve"> Đối với số thu từ các </w:t>
      </w:r>
      <w:r>
        <w:rPr>
          <w:i/>
        </w:rPr>
        <w:t>DNNN</w:t>
      </w:r>
      <w:r w:rsidRPr="00F2191E">
        <w:rPr>
          <w:i/>
        </w:rPr>
        <w:t>, đơn vị sự nghiệp công lập</w:t>
      </w:r>
      <w:r>
        <w:rPr>
          <w:i/>
        </w:rPr>
        <w:t xml:space="preserve"> cấp tỉnh</w:t>
      </w:r>
      <w:r w:rsidRPr="00F2191E">
        <w:rPr>
          <w:i/>
        </w:rPr>
        <w:t xml:space="preserve"> cổ phần hóa chuyển từ thành phần kinh tế nhà nước sang thành phần kinh tế </w:t>
      </w:r>
      <w:r>
        <w:rPr>
          <w:i/>
        </w:rPr>
        <w:t xml:space="preserve">dân </w:t>
      </w:r>
      <w:r w:rsidRPr="00F2191E">
        <w:rPr>
          <w:i/>
        </w:rPr>
        <w:t xml:space="preserve">doanh vẫn được tiếp tục xếp vào thành phần kinh tế </w:t>
      </w:r>
      <w:r>
        <w:rPr>
          <w:i/>
        </w:rPr>
        <w:t>nhà nước</w:t>
      </w:r>
      <w:r w:rsidRPr="00F2191E">
        <w:rPr>
          <w:i/>
        </w:rPr>
        <w:t xml:space="preserve"> và thực hiện điều tiết số thu theo quy định</w:t>
      </w:r>
      <w:r>
        <w:rPr>
          <w:i/>
        </w:rPr>
        <w:t>.</w:t>
      </w:r>
    </w:p>
  </w:footnote>
  <w:footnote w:id="2">
    <w:p w:rsidR="00692109" w:rsidRDefault="00692109" w:rsidP="00692109">
      <w:pPr>
        <w:pStyle w:val="FootnoteText"/>
        <w:jc w:val="both"/>
      </w:pPr>
      <w:r>
        <w:rPr>
          <w:rStyle w:val="FootnoteReference"/>
        </w:rPr>
        <w:footnoteRef/>
      </w:r>
      <w:r>
        <w:t xml:space="preserve"> </w:t>
      </w:r>
      <w:r w:rsidRPr="00327888">
        <w:rPr>
          <w:i/>
        </w:rPr>
        <w:t>Các khoản thu do cơ quan nhà nước địa phương thực hiện, các khoản thu từ tài sản các cơ quan, tổ chức, đơn vị thuộc địa phương quản lý, các khoản huy động, viện trợ, thu khác, thu kết dư ngân sách các cấp, … tại các Khoản từ 13 đến 21 được phân chia theo phân  cấp quản lý, cấp nào thu sẽ do ngân sách cấp đó hưởng 100%.</w:t>
      </w:r>
    </w:p>
  </w:footnote>
  <w:footnote w:id="3">
    <w:p w:rsidR="00692109" w:rsidRPr="00E0597A" w:rsidRDefault="00692109" w:rsidP="00692109">
      <w:pPr>
        <w:pStyle w:val="FootnoteText"/>
        <w:rPr>
          <w:i/>
        </w:rPr>
      </w:pPr>
      <w:r w:rsidRPr="00E0597A">
        <w:rPr>
          <w:rStyle w:val="FootnoteReference"/>
          <w:i/>
        </w:rPr>
        <w:footnoteRef/>
      </w:r>
      <w:r w:rsidRPr="00E0597A">
        <w:rPr>
          <w:i/>
        </w:rPr>
        <w:t xml:space="preserve"> Dấu x: được phân cấp nguồn thu, nhiệm vụ chi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52"/>
    <w:rsid w:val="000045FF"/>
    <w:rsid w:val="00004D7C"/>
    <w:rsid w:val="000109D0"/>
    <w:rsid w:val="00015D1C"/>
    <w:rsid w:val="000217AF"/>
    <w:rsid w:val="00026382"/>
    <w:rsid w:val="000306E6"/>
    <w:rsid w:val="00037CF8"/>
    <w:rsid w:val="0004460C"/>
    <w:rsid w:val="00051BE6"/>
    <w:rsid w:val="00053C04"/>
    <w:rsid w:val="00056583"/>
    <w:rsid w:val="00060B3B"/>
    <w:rsid w:val="0008586D"/>
    <w:rsid w:val="000A38BF"/>
    <w:rsid w:val="000B632B"/>
    <w:rsid w:val="000B7A22"/>
    <w:rsid w:val="000D02E4"/>
    <w:rsid w:val="000D058D"/>
    <w:rsid w:val="000F2176"/>
    <w:rsid w:val="00105429"/>
    <w:rsid w:val="0011468F"/>
    <w:rsid w:val="00120024"/>
    <w:rsid w:val="00130EA1"/>
    <w:rsid w:val="00146F97"/>
    <w:rsid w:val="00150AFB"/>
    <w:rsid w:val="00161D27"/>
    <w:rsid w:val="0016303C"/>
    <w:rsid w:val="00163FCA"/>
    <w:rsid w:val="00180E68"/>
    <w:rsid w:val="00191006"/>
    <w:rsid w:val="00191C89"/>
    <w:rsid w:val="00194365"/>
    <w:rsid w:val="00197119"/>
    <w:rsid w:val="001A0703"/>
    <w:rsid w:val="001B08C6"/>
    <w:rsid w:val="001B28F7"/>
    <w:rsid w:val="001B6BF5"/>
    <w:rsid w:val="001D0C27"/>
    <w:rsid w:val="001D7301"/>
    <w:rsid w:val="001F0F1C"/>
    <w:rsid w:val="0020616A"/>
    <w:rsid w:val="00207F58"/>
    <w:rsid w:val="00211F16"/>
    <w:rsid w:val="00212A22"/>
    <w:rsid w:val="0021372C"/>
    <w:rsid w:val="00221178"/>
    <w:rsid w:val="00222FDD"/>
    <w:rsid w:val="00251FB2"/>
    <w:rsid w:val="00265442"/>
    <w:rsid w:val="00282D52"/>
    <w:rsid w:val="0028458A"/>
    <w:rsid w:val="0028671A"/>
    <w:rsid w:val="00293D72"/>
    <w:rsid w:val="002A4862"/>
    <w:rsid w:val="002A7968"/>
    <w:rsid w:val="002B1807"/>
    <w:rsid w:val="002B38EA"/>
    <w:rsid w:val="002B4D08"/>
    <w:rsid w:val="002B7A69"/>
    <w:rsid w:val="002C0C21"/>
    <w:rsid w:val="002D0535"/>
    <w:rsid w:val="002D172C"/>
    <w:rsid w:val="002D6534"/>
    <w:rsid w:val="002E1617"/>
    <w:rsid w:val="002F60CE"/>
    <w:rsid w:val="002F6C05"/>
    <w:rsid w:val="00300971"/>
    <w:rsid w:val="00305D84"/>
    <w:rsid w:val="00312D24"/>
    <w:rsid w:val="00316EAE"/>
    <w:rsid w:val="00327861"/>
    <w:rsid w:val="00327888"/>
    <w:rsid w:val="00331477"/>
    <w:rsid w:val="00332F04"/>
    <w:rsid w:val="0033656B"/>
    <w:rsid w:val="0034566D"/>
    <w:rsid w:val="003550EA"/>
    <w:rsid w:val="00360E88"/>
    <w:rsid w:val="00370D34"/>
    <w:rsid w:val="00372891"/>
    <w:rsid w:val="003752FA"/>
    <w:rsid w:val="00391142"/>
    <w:rsid w:val="003A42D8"/>
    <w:rsid w:val="003A5A22"/>
    <w:rsid w:val="003A685C"/>
    <w:rsid w:val="003A691F"/>
    <w:rsid w:val="003B0145"/>
    <w:rsid w:val="003B287D"/>
    <w:rsid w:val="003C086C"/>
    <w:rsid w:val="003C7EB1"/>
    <w:rsid w:val="003F282D"/>
    <w:rsid w:val="003F456A"/>
    <w:rsid w:val="00403DCB"/>
    <w:rsid w:val="00407A4C"/>
    <w:rsid w:val="00413518"/>
    <w:rsid w:val="00420EBA"/>
    <w:rsid w:val="004244B9"/>
    <w:rsid w:val="004310D9"/>
    <w:rsid w:val="00435E75"/>
    <w:rsid w:val="004406DC"/>
    <w:rsid w:val="004433A1"/>
    <w:rsid w:val="00460501"/>
    <w:rsid w:val="00460BE4"/>
    <w:rsid w:val="00470535"/>
    <w:rsid w:val="0047515B"/>
    <w:rsid w:val="0048436B"/>
    <w:rsid w:val="004922CD"/>
    <w:rsid w:val="004A181B"/>
    <w:rsid w:val="004A4C5A"/>
    <w:rsid w:val="004A5398"/>
    <w:rsid w:val="004B512A"/>
    <w:rsid w:val="004C38CA"/>
    <w:rsid w:val="004C407D"/>
    <w:rsid w:val="004E2C98"/>
    <w:rsid w:val="004E5323"/>
    <w:rsid w:val="00500FBF"/>
    <w:rsid w:val="005106C5"/>
    <w:rsid w:val="00513D4F"/>
    <w:rsid w:val="00514DAD"/>
    <w:rsid w:val="00517283"/>
    <w:rsid w:val="00517777"/>
    <w:rsid w:val="005421B4"/>
    <w:rsid w:val="00563264"/>
    <w:rsid w:val="00571B91"/>
    <w:rsid w:val="005746DC"/>
    <w:rsid w:val="00574EF2"/>
    <w:rsid w:val="00581894"/>
    <w:rsid w:val="00590A8B"/>
    <w:rsid w:val="00594391"/>
    <w:rsid w:val="005C318A"/>
    <w:rsid w:val="005C470C"/>
    <w:rsid w:val="005D0C58"/>
    <w:rsid w:val="005D43BC"/>
    <w:rsid w:val="005E47A3"/>
    <w:rsid w:val="005E4E40"/>
    <w:rsid w:val="0061510B"/>
    <w:rsid w:val="006214CD"/>
    <w:rsid w:val="00622DF1"/>
    <w:rsid w:val="00624E9F"/>
    <w:rsid w:val="00631ECB"/>
    <w:rsid w:val="006352E9"/>
    <w:rsid w:val="0063565D"/>
    <w:rsid w:val="00640120"/>
    <w:rsid w:val="00646BDD"/>
    <w:rsid w:val="00651575"/>
    <w:rsid w:val="0066307F"/>
    <w:rsid w:val="00664465"/>
    <w:rsid w:val="00667B23"/>
    <w:rsid w:val="0067533D"/>
    <w:rsid w:val="006800D3"/>
    <w:rsid w:val="00692109"/>
    <w:rsid w:val="00695B70"/>
    <w:rsid w:val="00697C32"/>
    <w:rsid w:val="006B6E93"/>
    <w:rsid w:val="006C148D"/>
    <w:rsid w:val="006C7305"/>
    <w:rsid w:val="006E3F9F"/>
    <w:rsid w:val="006E6CF0"/>
    <w:rsid w:val="006F0A73"/>
    <w:rsid w:val="006F20A7"/>
    <w:rsid w:val="00715273"/>
    <w:rsid w:val="007166DA"/>
    <w:rsid w:val="007370A5"/>
    <w:rsid w:val="0074685C"/>
    <w:rsid w:val="00752866"/>
    <w:rsid w:val="00787071"/>
    <w:rsid w:val="00792B65"/>
    <w:rsid w:val="0079368E"/>
    <w:rsid w:val="007A0103"/>
    <w:rsid w:val="007A0A98"/>
    <w:rsid w:val="007A47BF"/>
    <w:rsid w:val="007B34C4"/>
    <w:rsid w:val="007B4C91"/>
    <w:rsid w:val="007C3073"/>
    <w:rsid w:val="007C5697"/>
    <w:rsid w:val="007C71C8"/>
    <w:rsid w:val="007D5A4C"/>
    <w:rsid w:val="007D7659"/>
    <w:rsid w:val="007E04CD"/>
    <w:rsid w:val="007F43D5"/>
    <w:rsid w:val="008161E5"/>
    <w:rsid w:val="008168F8"/>
    <w:rsid w:val="00833E64"/>
    <w:rsid w:val="0084121F"/>
    <w:rsid w:val="00843E25"/>
    <w:rsid w:val="008521E1"/>
    <w:rsid w:val="00863D07"/>
    <w:rsid w:val="00863F62"/>
    <w:rsid w:val="00866F82"/>
    <w:rsid w:val="008802C6"/>
    <w:rsid w:val="0088437D"/>
    <w:rsid w:val="008A03B4"/>
    <w:rsid w:val="008A670F"/>
    <w:rsid w:val="008A7916"/>
    <w:rsid w:val="008B4952"/>
    <w:rsid w:val="008C0BC0"/>
    <w:rsid w:val="008C7393"/>
    <w:rsid w:val="008E53FB"/>
    <w:rsid w:val="008E6F9D"/>
    <w:rsid w:val="008F2381"/>
    <w:rsid w:val="008F4399"/>
    <w:rsid w:val="00906704"/>
    <w:rsid w:val="009206FB"/>
    <w:rsid w:val="00931B4C"/>
    <w:rsid w:val="009331FC"/>
    <w:rsid w:val="00946536"/>
    <w:rsid w:val="009553D4"/>
    <w:rsid w:val="00975C93"/>
    <w:rsid w:val="00981721"/>
    <w:rsid w:val="009821B0"/>
    <w:rsid w:val="00982667"/>
    <w:rsid w:val="009A7D2F"/>
    <w:rsid w:val="009B3EDD"/>
    <w:rsid w:val="009B6EB4"/>
    <w:rsid w:val="009C0271"/>
    <w:rsid w:val="009C2B29"/>
    <w:rsid w:val="009C5267"/>
    <w:rsid w:val="009D52B9"/>
    <w:rsid w:val="009D736B"/>
    <w:rsid w:val="009E361A"/>
    <w:rsid w:val="009E4EC9"/>
    <w:rsid w:val="009F608E"/>
    <w:rsid w:val="00A01723"/>
    <w:rsid w:val="00A01E42"/>
    <w:rsid w:val="00A0258A"/>
    <w:rsid w:val="00A218CB"/>
    <w:rsid w:val="00A23F91"/>
    <w:rsid w:val="00A27A23"/>
    <w:rsid w:val="00A33385"/>
    <w:rsid w:val="00A351B2"/>
    <w:rsid w:val="00A3739E"/>
    <w:rsid w:val="00A37F53"/>
    <w:rsid w:val="00A473E4"/>
    <w:rsid w:val="00A568E1"/>
    <w:rsid w:val="00A648BD"/>
    <w:rsid w:val="00A657ED"/>
    <w:rsid w:val="00A67AC3"/>
    <w:rsid w:val="00A81474"/>
    <w:rsid w:val="00A818F5"/>
    <w:rsid w:val="00A83ECC"/>
    <w:rsid w:val="00A924D2"/>
    <w:rsid w:val="00AA1AC6"/>
    <w:rsid w:val="00AB0180"/>
    <w:rsid w:val="00AB18A7"/>
    <w:rsid w:val="00AC5545"/>
    <w:rsid w:val="00AC7E80"/>
    <w:rsid w:val="00AD463D"/>
    <w:rsid w:val="00AE13D5"/>
    <w:rsid w:val="00AE3604"/>
    <w:rsid w:val="00AE745F"/>
    <w:rsid w:val="00AE7617"/>
    <w:rsid w:val="00B01FB8"/>
    <w:rsid w:val="00B05A56"/>
    <w:rsid w:val="00B15775"/>
    <w:rsid w:val="00B16123"/>
    <w:rsid w:val="00B40FD0"/>
    <w:rsid w:val="00B42C08"/>
    <w:rsid w:val="00B44583"/>
    <w:rsid w:val="00B61144"/>
    <w:rsid w:val="00B6168E"/>
    <w:rsid w:val="00B65CE8"/>
    <w:rsid w:val="00B75093"/>
    <w:rsid w:val="00B779E1"/>
    <w:rsid w:val="00B80AEC"/>
    <w:rsid w:val="00B80D41"/>
    <w:rsid w:val="00B8252E"/>
    <w:rsid w:val="00B832C0"/>
    <w:rsid w:val="00B8519C"/>
    <w:rsid w:val="00B86959"/>
    <w:rsid w:val="00BA4500"/>
    <w:rsid w:val="00BA7036"/>
    <w:rsid w:val="00BA72FB"/>
    <w:rsid w:val="00BB4C8F"/>
    <w:rsid w:val="00BE0B8E"/>
    <w:rsid w:val="00BE12CA"/>
    <w:rsid w:val="00BE45BD"/>
    <w:rsid w:val="00BE7647"/>
    <w:rsid w:val="00BF0F9C"/>
    <w:rsid w:val="00C07812"/>
    <w:rsid w:val="00C13148"/>
    <w:rsid w:val="00C30620"/>
    <w:rsid w:val="00C445FD"/>
    <w:rsid w:val="00C471E6"/>
    <w:rsid w:val="00C47617"/>
    <w:rsid w:val="00C52783"/>
    <w:rsid w:val="00C846AF"/>
    <w:rsid w:val="00C94CDB"/>
    <w:rsid w:val="00CA0837"/>
    <w:rsid w:val="00CB285C"/>
    <w:rsid w:val="00CB64AC"/>
    <w:rsid w:val="00CB6F1B"/>
    <w:rsid w:val="00CC3E81"/>
    <w:rsid w:val="00CC45E6"/>
    <w:rsid w:val="00CE539E"/>
    <w:rsid w:val="00CF7716"/>
    <w:rsid w:val="00D03313"/>
    <w:rsid w:val="00D0587D"/>
    <w:rsid w:val="00D061C3"/>
    <w:rsid w:val="00D07729"/>
    <w:rsid w:val="00D10F91"/>
    <w:rsid w:val="00D1167B"/>
    <w:rsid w:val="00D11E3C"/>
    <w:rsid w:val="00D121D0"/>
    <w:rsid w:val="00D17232"/>
    <w:rsid w:val="00D31C9E"/>
    <w:rsid w:val="00D40FCE"/>
    <w:rsid w:val="00D412B3"/>
    <w:rsid w:val="00D47DBB"/>
    <w:rsid w:val="00D51C22"/>
    <w:rsid w:val="00D55B6D"/>
    <w:rsid w:val="00D55DB9"/>
    <w:rsid w:val="00D726A6"/>
    <w:rsid w:val="00D813CA"/>
    <w:rsid w:val="00D81D50"/>
    <w:rsid w:val="00D92162"/>
    <w:rsid w:val="00D92D00"/>
    <w:rsid w:val="00D950C6"/>
    <w:rsid w:val="00D954B2"/>
    <w:rsid w:val="00DA444C"/>
    <w:rsid w:val="00DA62CC"/>
    <w:rsid w:val="00DB499E"/>
    <w:rsid w:val="00DC38F3"/>
    <w:rsid w:val="00DE44C5"/>
    <w:rsid w:val="00DE4AE5"/>
    <w:rsid w:val="00DE5059"/>
    <w:rsid w:val="00DE569D"/>
    <w:rsid w:val="00DF2086"/>
    <w:rsid w:val="00DF42CC"/>
    <w:rsid w:val="00DF7C38"/>
    <w:rsid w:val="00E036EC"/>
    <w:rsid w:val="00E06384"/>
    <w:rsid w:val="00E12F65"/>
    <w:rsid w:val="00E1696D"/>
    <w:rsid w:val="00E17047"/>
    <w:rsid w:val="00E17351"/>
    <w:rsid w:val="00E231E2"/>
    <w:rsid w:val="00E3612F"/>
    <w:rsid w:val="00E40189"/>
    <w:rsid w:val="00E42B8B"/>
    <w:rsid w:val="00E4471A"/>
    <w:rsid w:val="00E623FB"/>
    <w:rsid w:val="00E62A3B"/>
    <w:rsid w:val="00E634B6"/>
    <w:rsid w:val="00E63AD6"/>
    <w:rsid w:val="00E74E8C"/>
    <w:rsid w:val="00E8024D"/>
    <w:rsid w:val="00E803C9"/>
    <w:rsid w:val="00E818BB"/>
    <w:rsid w:val="00E85670"/>
    <w:rsid w:val="00E91721"/>
    <w:rsid w:val="00EA0B28"/>
    <w:rsid w:val="00EA1022"/>
    <w:rsid w:val="00EA13D5"/>
    <w:rsid w:val="00EA6BC1"/>
    <w:rsid w:val="00EB7DB1"/>
    <w:rsid w:val="00EC6D0F"/>
    <w:rsid w:val="00ED2272"/>
    <w:rsid w:val="00EF1BFF"/>
    <w:rsid w:val="00EF790E"/>
    <w:rsid w:val="00F02DE7"/>
    <w:rsid w:val="00F055F1"/>
    <w:rsid w:val="00F108A9"/>
    <w:rsid w:val="00F10A90"/>
    <w:rsid w:val="00F21609"/>
    <w:rsid w:val="00F2191E"/>
    <w:rsid w:val="00F22EDC"/>
    <w:rsid w:val="00F32527"/>
    <w:rsid w:val="00F51C60"/>
    <w:rsid w:val="00F5232A"/>
    <w:rsid w:val="00F54814"/>
    <w:rsid w:val="00F817F2"/>
    <w:rsid w:val="00F92169"/>
    <w:rsid w:val="00FA5DFB"/>
    <w:rsid w:val="00FC0544"/>
    <w:rsid w:val="00FC4983"/>
    <w:rsid w:val="00FC6E39"/>
    <w:rsid w:val="00FD56A6"/>
    <w:rsid w:val="00FE1799"/>
    <w:rsid w:val="00FE7C79"/>
    <w:rsid w:val="00FF0FDC"/>
    <w:rsid w:val="00FF1C92"/>
    <w:rsid w:val="00FF459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59"/>
  </w:style>
  <w:style w:type="paragraph" w:styleId="Heading1">
    <w:name w:val="heading 1"/>
    <w:basedOn w:val="Normal"/>
    <w:next w:val="Normal"/>
    <w:link w:val="Heading1Char"/>
    <w:qFormat/>
    <w:rsid w:val="00E634B6"/>
    <w:pPr>
      <w:keepNext/>
      <w:spacing w:before="0"/>
      <w:jc w:val="center"/>
      <w:outlineLvl w:val="0"/>
    </w:pPr>
    <w:rPr>
      <w:rFonts w:eastAsia="Times New Roman"/>
      <w:b/>
      <w:bCs/>
    </w:rPr>
  </w:style>
  <w:style w:type="paragraph" w:styleId="Heading2">
    <w:name w:val="heading 2"/>
    <w:basedOn w:val="Normal"/>
    <w:next w:val="Normal"/>
    <w:link w:val="Heading2Char"/>
    <w:qFormat/>
    <w:rsid w:val="00E634B6"/>
    <w:pPr>
      <w:keepNext/>
      <w:spacing w:before="0"/>
      <w:jc w:val="center"/>
      <w:outlineLvl w:val="1"/>
    </w:pPr>
    <w:rPr>
      <w:rFonts w:ascii="VNI-Times" w:eastAsia="Times New Roman" w:hAnsi="VNI-Time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7617"/>
    <w:pPr>
      <w:spacing w:before="0"/>
    </w:pPr>
    <w:rPr>
      <w:sz w:val="20"/>
      <w:szCs w:val="20"/>
    </w:rPr>
  </w:style>
  <w:style w:type="character" w:customStyle="1" w:styleId="FootnoteTextChar">
    <w:name w:val="Footnote Text Char"/>
    <w:basedOn w:val="DefaultParagraphFont"/>
    <w:link w:val="FootnoteText"/>
    <w:uiPriority w:val="99"/>
    <w:semiHidden/>
    <w:rsid w:val="00AE7617"/>
    <w:rPr>
      <w:sz w:val="20"/>
      <w:szCs w:val="20"/>
    </w:rPr>
  </w:style>
  <w:style w:type="character" w:styleId="FootnoteReference">
    <w:name w:val="footnote reference"/>
    <w:basedOn w:val="DefaultParagraphFont"/>
    <w:uiPriority w:val="99"/>
    <w:semiHidden/>
    <w:unhideWhenUsed/>
    <w:rsid w:val="00AE7617"/>
    <w:rPr>
      <w:vertAlign w:val="superscript"/>
    </w:rPr>
  </w:style>
  <w:style w:type="paragraph" w:styleId="Header">
    <w:name w:val="header"/>
    <w:basedOn w:val="Normal"/>
    <w:link w:val="HeaderChar"/>
    <w:uiPriority w:val="99"/>
    <w:semiHidden/>
    <w:unhideWhenUsed/>
    <w:rsid w:val="004E5323"/>
    <w:pPr>
      <w:tabs>
        <w:tab w:val="center" w:pos="4680"/>
        <w:tab w:val="right" w:pos="9360"/>
      </w:tabs>
      <w:spacing w:before="0"/>
    </w:pPr>
  </w:style>
  <w:style w:type="character" w:customStyle="1" w:styleId="HeaderChar">
    <w:name w:val="Header Char"/>
    <w:basedOn w:val="DefaultParagraphFont"/>
    <w:link w:val="Header"/>
    <w:uiPriority w:val="99"/>
    <w:semiHidden/>
    <w:rsid w:val="004E5323"/>
  </w:style>
  <w:style w:type="paragraph" w:styleId="Footer">
    <w:name w:val="footer"/>
    <w:basedOn w:val="Normal"/>
    <w:link w:val="FooterChar"/>
    <w:uiPriority w:val="99"/>
    <w:unhideWhenUsed/>
    <w:rsid w:val="004E5323"/>
    <w:pPr>
      <w:tabs>
        <w:tab w:val="center" w:pos="4680"/>
        <w:tab w:val="right" w:pos="9360"/>
      </w:tabs>
      <w:spacing w:before="0"/>
    </w:pPr>
  </w:style>
  <w:style w:type="character" w:customStyle="1" w:styleId="FooterChar">
    <w:name w:val="Footer Char"/>
    <w:basedOn w:val="DefaultParagraphFont"/>
    <w:link w:val="Footer"/>
    <w:uiPriority w:val="99"/>
    <w:rsid w:val="004E5323"/>
  </w:style>
  <w:style w:type="character" w:customStyle="1" w:styleId="Heading1Char">
    <w:name w:val="Heading 1 Char"/>
    <w:basedOn w:val="DefaultParagraphFont"/>
    <w:link w:val="Heading1"/>
    <w:rsid w:val="00E634B6"/>
    <w:rPr>
      <w:rFonts w:eastAsia="Times New Roman"/>
      <w:b/>
      <w:bCs/>
    </w:rPr>
  </w:style>
  <w:style w:type="character" w:customStyle="1" w:styleId="Heading2Char">
    <w:name w:val="Heading 2 Char"/>
    <w:basedOn w:val="DefaultParagraphFont"/>
    <w:link w:val="Heading2"/>
    <w:rsid w:val="00E634B6"/>
    <w:rPr>
      <w:rFonts w:ascii="VNI-Times" w:eastAsia="Times New Roman" w:hAnsi="VNI-Time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59"/>
  </w:style>
  <w:style w:type="paragraph" w:styleId="Heading1">
    <w:name w:val="heading 1"/>
    <w:basedOn w:val="Normal"/>
    <w:next w:val="Normal"/>
    <w:link w:val="Heading1Char"/>
    <w:qFormat/>
    <w:rsid w:val="00E634B6"/>
    <w:pPr>
      <w:keepNext/>
      <w:spacing w:before="0"/>
      <w:jc w:val="center"/>
      <w:outlineLvl w:val="0"/>
    </w:pPr>
    <w:rPr>
      <w:rFonts w:eastAsia="Times New Roman"/>
      <w:b/>
      <w:bCs/>
    </w:rPr>
  </w:style>
  <w:style w:type="paragraph" w:styleId="Heading2">
    <w:name w:val="heading 2"/>
    <w:basedOn w:val="Normal"/>
    <w:next w:val="Normal"/>
    <w:link w:val="Heading2Char"/>
    <w:qFormat/>
    <w:rsid w:val="00E634B6"/>
    <w:pPr>
      <w:keepNext/>
      <w:spacing w:before="0"/>
      <w:jc w:val="center"/>
      <w:outlineLvl w:val="1"/>
    </w:pPr>
    <w:rPr>
      <w:rFonts w:ascii="VNI-Times" w:eastAsia="Times New Roman" w:hAnsi="VNI-Time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7617"/>
    <w:pPr>
      <w:spacing w:before="0"/>
    </w:pPr>
    <w:rPr>
      <w:sz w:val="20"/>
      <w:szCs w:val="20"/>
    </w:rPr>
  </w:style>
  <w:style w:type="character" w:customStyle="1" w:styleId="FootnoteTextChar">
    <w:name w:val="Footnote Text Char"/>
    <w:basedOn w:val="DefaultParagraphFont"/>
    <w:link w:val="FootnoteText"/>
    <w:uiPriority w:val="99"/>
    <w:semiHidden/>
    <w:rsid w:val="00AE7617"/>
    <w:rPr>
      <w:sz w:val="20"/>
      <w:szCs w:val="20"/>
    </w:rPr>
  </w:style>
  <w:style w:type="character" w:styleId="FootnoteReference">
    <w:name w:val="footnote reference"/>
    <w:basedOn w:val="DefaultParagraphFont"/>
    <w:uiPriority w:val="99"/>
    <w:semiHidden/>
    <w:unhideWhenUsed/>
    <w:rsid w:val="00AE7617"/>
    <w:rPr>
      <w:vertAlign w:val="superscript"/>
    </w:rPr>
  </w:style>
  <w:style w:type="paragraph" w:styleId="Header">
    <w:name w:val="header"/>
    <w:basedOn w:val="Normal"/>
    <w:link w:val="HeaderChar"/>
    <w:uiPriority w:val="99"/>
    <w:semiHidden/>
    <w:unhideWhenUsed/>
    <w:rsid w:val="004E5323"/>
    <w:pPr>
      <w:tabs>
        <w:tab w:val="center" w:pos="4680"/>
        <w:tab w:val="right" w:pos="9360"/>
      </w:tabs>
      <w:spacing w:before="0"/>
    </w:pPr>
  </w:style>
  <w:style w:type="character" w:customStyle="1" w:styleId="HeaderChar">
    <w:name w:val="Header Char"/>
    <w:basedOn w:val="DefaultParagraphFont"/>
    <w:link w:val="Header"/>
    <w:uiPriority w:val="99"/>
    <w:semiHidden/>
    <w:rsid w:val="004E5323"/>
  </w:style>
  <w:style w:type="paragraph" w:styleId="Footer">
    <w:name w:val="footer"/>
    <w:basedOn w:val="Normal"/>
    <w:link w:val="FooterChar"/>
    <w:uiPriority w:val="99"/>
    <w:unhideWhenUsed/>
    <w:rsid w:val="004E5323"/>
    <w:pPr>
      <w:tabs>
        <w:tab w:val="center" w:pos="4680"/>
        <w:tab w:val="right" w:pos="9360"/>
      </w:tabs>
      <w:spacing w:before="0"/>
    </w:pPr>
  </w:style>
  <w:style w:type="character" w:customStyle="1" w:styleId="FooterChar">
    <w:name w:val="Footer Char"/>
    <w:basedOn w:val="DefaultParagraphFont"/>
    <w:link w:val="Footer"/>
    <w:uiPriority w:val="99"/>
    <w:rsid w:val="004E5323"/>
  </w:style>
  <w:style w:type="character" w:customStyle="1" w:styleId="Heading1Char">
    <w:name w:val="Heading 1 Char"/>
    <w:basedOn w:val="DefaultParagraphFont"/>
    <w:link w:val="Heading1"/>
    <w:rsid w:val="00E634B6"/>
    <w:rPr>
      <w:rFonts w:eastAsia="Times New Roman"/>
      <w:b/>
      <w:bCs/>
    </w:rPr>
  </w:style>
  <w:style w:type="character" w:customStyle="1" w:styleId="Heading2Char">
    <w:name w:val="Heading 2 Char"/>
    <w:basedOn w:val="DefaultParagraphFont"/>
    <w:link w:val="Heading2"/>
    <w:rsid w:val="00E634B6"/>
    <w:rPr>
      <w:rFonts w:ascii="VNI-Times" w:eastAsia="Times New Roman" w:hAnsi="VNI-Time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929">
      <w:bodyDiv w:val="1"/>
      <w:marLeft w:val="0"/>
      <w:marRight w:val="0"/>
      <w:marTop w:val="0"/>
      <w:marBottom w:val="0"/>
      <w:divBdr>
        <w:top w:val="none" w:sz="0" w:space="0" w:color="auto"/>
        <w:left w:val="none" w:sz="0" w:space="0" w:color="auto"/>
        <w:bottom w:val="none" w:sz="0" w:space="0" w:color="auto"/>
        <w:right w:val="none" w:sz="0" w:space="0" w:color="auto"/>
      </w:divBdr>
    </w:div>
    <w:div w:id="18097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E3B1C-BBCF-41D7-8303-ACA9C124431C}"/>
</file>

<file path=customXml/itemProps2.xml><?xml version="1.0" encoding="utf-8"?>
<ds:datastoreItem xmlns:ds="http://schemas.openxmlformats.org/officeDocument/2006/customXml" ds:itemID="{CD0C1B40-D278-4E26-A4D7-46A46BFB3B39}"/>
</file>

<file path=customXml/itemProps3.xml><?xml version="1.0" encoding="utf-8"?>
<ds:datastoreItem xmlns:ds="http://schemas.openxmlformats.org/officeDocument/2006/customXml" ds:itemID="{764953B1-90AB-402C-AF1D-4EB037E28395}"/>
</file>

<file path=customXml/itemProps4.xml><?xml version="1.0" encoding="utf-8"?>
<ds:datastoreItem xmlns:ds="http://schemas.openxmlformats.org/officeDocument/2006/customXml" ds:itemID="{9558D946-975B-44E2-896F-8DBA4A48CD56}"/>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6</cp:revision>
  <cp:lastPrinted>2016-11-11T04:49:00Z</cp:lastPrinted>
  <dcterms:created xsi:type="dcterms:W3CDTF">2016-12-13T04:15:00Z</dcterms:created>
  <dcterms:modified xsi:type="dcterms:W3CDTF">2016-12-19T08:16:00Z</dcterms:modified>
</cp:coreProperties>
</file>